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80" w:rsidRPr="00A45C34" w:rsidRDefault="00484980" w:rsidP="00F61E3F">
      <w:pPr>
        <w:spacing w:after="0" w:line="240" w:lineRule="auto"/>
        <w:jc w:val="center"/>
        <w:rPr>
          <w:b/>
          <w:sz w:val="22"/>
        </w:rPr>
      </w:pPr>
      <w:r w:rsidRPr="00A45C34">
        <w:rPr>
          <w:b/>
          <w:sz w:val="22"/>
        </w:rPr>
        <w:t>Blight and Brownfields Committee Meeting</w:t>
      </w:r>
    </w:p>
    <w:p w:rsidR="00484980" w:rsidRPr="00A45C34" w:rsidRDefault="00A45C34" w:rsidP="00F61E3F">
      <w:pPr>
        <w:spacing w:after="0" w:line="240" w:lineRule="auto"/>
        <w:jc w:val="center"/>
        <w:rPr>
          <w:b/>
          <w:sz w:val="22"/>
        </w:rPr>
      </w:pPr>
      <w:r>
        <w:rPr>
          <w:b/>
          <w:sz w:val="22"/>
        </w:rPr>
        <w:t xml:space="preserve">July </w:t>
      </w:r>
      <w:r w:rsidR="006E1ACC" w:rsidRPr="00A45C34">
        <w:rPr>
          <w:b/>
          <w:sz w:val="22"/>
        </w:rPr>
        <w:t>21</w:t>
      </w:r>
      <w:r w:rsidR="0003536C" w:rsidRPr="00A45C34">
        <w:rPr>
          <w:b/>
          <w:sz w:val="22"/>
        </w:rPr>
        <w:t>, 2016</w:t>
      </w:r>
    </w:p>
    <w:p w:rsidR="00484980" w:rsidRPr="00A45C34" w:rsidRDefault="00F77EC6" w:rsidP="00F61E3F">
      <w:pPr>
        <w:spacing w:after="0" w:line="240" w:lineRule="auto"/>
        <w:jc w:val="center"/>
        <w:rPr>
          <w:b/>
          <w:sz w:val="22"/>
        </w:rPr>
      </w:pPr>
      <w:r w:rsidRPr="00A45C34">
        <w:rPr>
          <w:b/>
          <w:sz w:val="22"/>
        </w:rPr>
        <w:t>Council Chambers</w:t>
      </w:r>
      <w:r w:rsidR="00484980" w:rsidRPr="00A45C34">
        <w:rPr>
          <w:b/>
          <w:sz w:val="22"/>
        </w:rPr>
        <w:t xml:space="preserve"> City Hall</w:t>
      </w:r>
    </w:p>
    <w:p w:rsidR="00484980" w:rsidRPr="00A45C34" w:rsidRDefault="00484980" w:rsidP="00F61E3F">
      <w:pPr>
        <w:spacing w:after="0" w:line="240" w:lineRule="auto"/>
        <w:jc w:val="center"/>
        <w:rPr>
          <w:b/>
          <w:sz w:val="22"/>
        </w:rPr>
      </w:pPr>
      <w:r w:rsidRPr="00A45C34">
        <w:rPr>
          <w:b/>
          <w:sz w:val="22"/>
        </w:rPr>
        <w:t>142 East Main Street, Meriden, CT</w:t>
      </w:r>
    </w:p>
    <w:p w:rsidR="00484980" w:rsidRPr="00A45C34" w:rsidRDefault="00484980" w:rsidP="00F61E3F">
      <w:pPr>
        <w:spacing w:after="0" w:line="240" w:lineRule="auto"/>
        <w:rPr>
          <w:sz w:val="22"/>
        </w:rPr>
      </w:pPr>
    </w:p>
    <w:p w:rsidR="00484980" w:rsidRPr="00A45C34" w:rsidRDefault="00484980" w:rsidP="00F61E3F">
      <w:pPr>
        <w:spacing w:after="0" w:line="240" w:lineRule="auto"/>
        <w:jc w:val="center"/>
        <w:rPr>
          <w:sz w:val="22"/>
          <w:u w:val="single"/>
        </w:rPr>
      </w:pPr>
    </w:p>
    <w:p w:rsidR="00484980" w:rsidRPr="00A45C34" w:rsidRDefault="00F61E3F" w:rsidP="00F61E3F">
      <w:pPr>
        <w:spacing w:after="0" w:line="240" w:lineRule="auto"/>
        <w:jc w:val="center"/>
        <w:rPr>
          <w:sz w:val="22"/>
          <w:u w:val="single"/>
        </w:rPr>
      </w:pPr>
      <w:r w:rsidRPr="00A45C34">
        <w:rPr>
          <w:sz w:val="22"/>
          <w:u w:val="single"/>
        </w:rPr>
        <w:t>Meeting S</w:t>
      </w:r>
      <w:r w:rsidR="00F537F4" w:rsidRPr="00A45C34">
        <w:rPr>
          <w:sz w:val="22"/>
          <w:u w:val="single"/>
        </w:rPr>
        <w:t>ummary</w:t>
      </w:r>
    </w:p>
    <w:p w:rsidR="00EA1BBD" w:rsidRPr="00A45C34" w:rsidRDefault="00EA1BBD" w:rsidP="00EA1BBD">
      <w:pPr>
        <w:pStyle w:val="ListParagraph"/>
        <w:numPr>
          <w:ilvl w:val="0"/>
          <w:numId w:val="12"/>
        </w:numPr>
        <w:spacing w:after="0" w:line="240" w:lineRule="auto"/>
        <w:ind w:left="360"/>
        <w:rPr>
          <w:b/>
          <w:sz w:val="22"/>
        </w:rPr>
      </w:pPr>
      <w:r w:rsidRPr="00A45C34">
        <w:rPr>
          <w:b/>
          <w:sz w:val="22"/>
        </w:rPr>
        <w:t>Welcome and Introductions</w:t>
      </w:r>
    </w:p>
    <w:p w:rsidR="00EA1BBD" w:rsidRPr="00A45C34" w:rsidRDefault="00EA1BBD" w:rsidP="00F61E3F">
      <w:pPr>
        <w:spacing w:after="0" w:line="240" w:lineRule="auto"/>
        <w:rPr>
          <w:sz w:val="22"/>
          <w:u w:val="single"/>
        </w:rPr>
      </w:pPr>
    </w:p>
    <w:p w:rsidR="00F537F4" w:rsidRPr="00A45C34" w:rsidRDefault="00F537F4" w:rsidP="00F61E3F">
      <w:pPr>
        <w:spacing w:after="0" w:line="240" w:lineRule="auto"/>
        <w:rPr>
          <w:sz w:val="22"/>
          <w:u w:val="single"/>
        </w:rPr>
      </w:pPr>
      <w:r w:rsidRPr="00A45C34">
        <w:rPr>
          <w:sz w:val="22"/>
          <w:u w:val="single"/>
        </w:rPr>
        <w:t>In attendance were:</w:t>
      </w:r>
    </w:p>
    <w:p w:rsidR="00F537F4" w:rsidRPr="00A45C34" w:rsidRDefault="00F537F4" w:rsidP="00F61E3F">
      <w:pPr>
        <w:spacing w:after="0" w:line="240" w:lineRule="auto"/>
        <w:rPr>
          <w:sz w:val="22"/>
        </w:rPr>
      </w:pPr>
      <w:r w:rsidRPr="00A45C34">
        <w:rPr>
          <w:sz w:val="22"/>
        </w:rPr>
        <w:t>Juliet Burdelski, City of Meriden</w:t>
      </w:r>
    </w:p>
    <w:p w:rsidR="00F537F4" w:rsidRPr="00A45C34" w:rsidRDefault="00F537F4" w:rsidP="00F61E3F">
      <w:pPr>
        <w:spacing w:after="0" w:line="240" w:lineRule="auto"/>
        <w:rPr>
          <w:sz w:val="22"/>
        </w:rPr>
      </w:pPr>
      <w:r w:rsidRPr="00A45C34">
        <w:rPr>
          <w:sz w:val="22"/>
        </w:rPr>
        <w:t xml:space="preserve">Bob Bass, City of Meriden </w:t>
      </w:r>
    </w:p>
    <w:p w:rsidR="00F537F4" w:rsidRPr="00A45C34" w:rsidRDefault="00F537F4" w:rsidP="00F61E3F">
      <w:pPr>
        <w:spacing w:after="0" w:line="240" w:lineRule="auto"/>
        <w:rPr>
          <w:sz w:val="22"/>
        </w:rPr>
      </w:pPr>
      <w:r w:rsidRPr="00A45C34">
        <w:rPr>
          <w:sz w:val="22"/>
        </w:rPr>
        <w:t>John Bondos, AECom</w:t>
      </w:r>
    </w:p>
    <w:p w:rsidR="006D5F83" w:rsidRPr="00A45C34" w:rsidRDefault="006D5F83" w:rsidP="00F61E3F">
      <w:pPr>
        <w:spacing w:after="0" w:line="240" w:lineRule="auto"/>
        <w:rPr>
          <w:sz w:val="22"/>
        </w:rPr>
      </w:pPr>
      <w:r w:rsidRPr="00A45C34">
        <w:rPr>
          <w:sz w:val="22"/>
        </w:rPr>
        <w:t>Peter Miller, City of Meriden</w:t>
      </w:r>
    </w:p>
    <w:p w:rsidR="006D5F83" w:rsidRPr="00A45C34" w:rsidRDefault="00936F44" w:rsidP="00F61E3F">
      <w:pPr>
        <w:spacing w:after="0" w:line="240" w:lineRule="auto"/>
        <w:rPr>
          <w:sz w:val="22"/>
        </w:rPr>
      </w:pPr>
      <w:r w:rsidRPr="00A45C34">
        <w:rPr>
          <w:sz w:val="22"/>
        </w:rPr>
        <w:t>Carlos Texidor, Fuss and O’Neil</w:t>
      </w:r>
      <w:r w:rsidR="00D47FA7" w:rsidRPr="00A45C34">
        <w:rPr>
          <w:sz w:val="22"/>
        </w:rPr>
        <w:t>l</w:t>
      </w:r>
    </w:p>
    <w:p w:rsidR="00936F44" w:rsidRPr="00A45C34" w:rsidRDefault="00936F44" w:rsidP="00F61E3F">
      <w:pPr>
        <w:spacing w:after="0" w:line="240" w:lineRule="auto"/>
        <w:rPr>
          <w:sz w:val="22"/>
        </w:rPr>
      </w:pPr>
      <w:r w:rsidRPr="00A45C34">
        <w:rPr>
          <w:sz w:val="22"/>
        </w:rPr>
        <w:t>James Olsen, Tighe and Bond</w:t>
      </w:r>
    </w:p>
    <w:p w:rsidR="00125543" w:rsidRPr="00A45C34" w:rsidRDefault="00C72372" w:rsidP="00F61E3F">
      <w:pPr>
        <w:spacing w:after="0" w:line="240" w:lineRule="auto"/>
        <w:rPr>
          <w:sz w:val="22"/>
        </w:rPr>
      </w:pPr>
      <w:r w:rsidRPr="00A45C34">
        <w:rPr>
          <w:sz w:val="22"/>
        </w:rPr>
        <w:t xml:space="preserve">Holly Wills, </w:t>
      </w:r>
      <w:r w:rsidR="0072731E" w:rsidRPr="00A45C34">
        <w:rPr>
          <w:sz w:val="22"/>
        </w:rPr>
        <w:t>Meriden Council of Neighborhood Organizations</w:t>
      </w:r>
      <w:r w:rsidRPr="00A45C34">
        <w:rPr>
          <w:sz w:val="22"/>
        </w:rPr>
        <w:t xml:space="preserve"> </w:t>
      </w:r>
    </w:p>
    <w:p w:rsidR="002849B5" w:rsidRPr="00A45C34" w:rsidRDefault="002849B5" w:rsidP="00F61E3F">
      <w:pPr>
        <w:spacing w:after="0" w:line="240" w:lineRule="auto"/>
        <w:rPr>
          <w:sz w:val="22"/>
        </w:rPr>
      </w:pPr>
      <w:r w:rsidRPr="00A45C34">
        <w:rPr>
          <w:sz w:val="22"/>
        </w:rPr>
        <w:t>MaryEllen Mordarski, Meriden Council of Neighborhood Association</w:t>
      </w:r>
    </w:p>
    <w:p w:rsidR="00C72372" w:rsidRPr="00A45C34" w:rsidRDefault="00C72372" w:rsidP="00F61E3F">
      <w:pPr>
        <w:spacing w:after="0" w:line="240" w:lineRule="auto"/>
        <w:rPr>
          <w:sz w:val="22"/>
        </w:rPr>
      </w:pPr>
      <w:r w:rsidRPr="00A45C34">
        <w:rPr>
          <w:sz w:val="22"/>
        </w:rPr>
        <w:t xml:space="preserve">Paola Mantilla, City of Meriden </w:t>
      </w:r>
    </w:p>
    <w:p w:rsidR="007723B4" w:rsidRPr="00A45C34" w:rsidRDefault="007723B4" w:rsidP="00F61E3F">
      <w:pPr>
        <w:spacing w:after="0" w:line="240" w:lineRule="auto"/>
        <w:rPr>
          <w:sz w:val="22"/>
        </w:rPr>
      </w:pPr>
      <w:r w:rsidRPr="00A45C34">
        <w:rPr>
          <w:sz w:val="22"/>
        </w:rPr>
        <w:t>Sean Moore, MidState Chamber of Commerce</w:t>
      </w:r>
    </w:p>
    <w:p w:rsidR="0003536C" w:rsidRPr="00A45C34" w:rsidRDefault="006E1ACC" w:rsidP="00F61E3F">
      <w:pPr>
        <w:spacing w:after="0" w:line="240" w:lineRule="auto"/>
        <w:rPr>
          <w:sz w:val="22"/>
        </w:rPr>
      </w:pPr>
      <w:r w:rsidRPr="00A45C34">
        <w:rPr>
          <w:sz w:val="22"/>
        </w:rPr>
        <w:t>Chuck Croce</w:t>
      </w:r>
      <w:r w:rsidR="0003536C" w:rsidRPr="00A45C34">
        <w:rPr>
          <w:sz w:val="22"/>
        </w:rPr>
        <w:t>, Tighe and Bond</w:t>
      </w:r>
    </w:p>
    <w:p w:rsidR="0003536C" w:rsidRPr="00A45C34" w:rsidRDefault="006E1ACC" w:rsidP="00F61E3F">
      <w:pPr>
        <w:spacing w:after="0" w:line="240" w:lineRule="auto"/>
        <w:rPr>
          <w:sz w:val="22"/>
        </w:rPr>
      </w:pPr>
      <w:r w:rsidRPr="00A45C34">
        <w:rPr>
          <w:sz w:val="22"/>
        </w:rPr>
        <w:t>David Hurley,</w:t>
      </w:r>
      <w:r w:rsidR="0003536C" w:rsidRPr="00A45C34">
        <w:rPr>
          <w:sz w:val="22"/>
        </w:rPr>
        <w:t xml:space="preserve"> Fuss &amp; O’Neil</w:t>
      </w:r>
    </w:p>
    <w:p w:rsidR="007F4117" w:rsidRPr="00A45C34" w:rsidRDefault="006E1ACC" w:rsidP="00F61E3F">
      <w:pPr>
        <w:spacing w:after="0" w:line="240" w:lineRule="auto"/>
        <w:rPr>
          <w:sz w:val="22"/>
        </w:rPr>
      </w:pPr>
      <w:r w:rsidRPr="00A45C34">
        <w:rPr>
          <w:sz w:val="22"/>
        </w:rPr>
        <w:t>Gabriella Pagliuca, AECom</w:t>
      </w:r>
    </w:p>
    <w:p w:rsidR="006E1ACC" w:rsidRPr="00A45C34" w:rsidRDefault="006E1ACC" w:rsidP="00F61E3F">
      <w:pPr>
        <w:spacing w:after="0" w:line="240" w:lineRule="auto"/>
        <w:rPr>
          <w:sz w:val="22"/>
        </w:rPr>
      </w:pPr>
      <w:r w:rsidRPr="00A45C34">
        <w:rPr>
          <w:sz w:val="22"/>
        </w:rPr>
        <w:t>Tyler Fairbain, City of Meriden</w:t>
      </w:r>
    </w:p>
    <w:p w:rsidR="006E1ACC" w:rsidRPr="00A45C34" w:rsidRDefault="006E1ACC" w:rsidP="00F61E3F">
      <w:pPr>
        <w:spacing w:after="0" w:line="240" w:lineRule="auto"/>
        <w:rPr>
          <w:sz w:val="22"/>
        </w:rPr>
      </w:pPr>
      <w:r w:rsidRPr="00A45C34">
        <w:rPr>
          <w:sz w:val="22"/>
        </w:rPr>
        <w:t>Scott Boyden, City of Meriden</w:t>
      </w:r>
    </w:p>
    <w:p w:rsidR="006E1ACC" w:rsidRPr="00A45C34" w:rsidRDefault="006E1ACC" w:rsidP="00F61E3F">
      <w:pPr>
        <w:spacing w:after="0" w:line="240" w:lineRule="auto"/>
        <w:rPr>
          <w:sz w:val="22"/>
        </w:rPr>
      </w:pPr>
      <w:r w:rsidRPr="00A45C34">
        <w:rPr>
          <w:sz w:val="22"/>
        </w:rPr>
        <w:t>Alex Richardson, City of Meriden</w:t>
      </w:r>
    </w:p>
    <w:p w:rsidR="006E1ACC" w:rsidRPr="00A45C34" w:rsidRDefault="006E1ACC" w:rsidP="00F61E3F">
      <w:pPr>
        <w:spacing w:after="0" w:line="240" w:lineRule="auto"/>
        <w:rPr>
          <w:sz w:val="22"/>
        </w:rPr>
      </w:pPr>
      <w:r w:rsidRPr="00A45C34">
        <w:rPr>
          <w:sz w:val="22"/>
        </w:rPr>
        <w:t xml:space="preserve">Don Friday, DECD Brownfields </w:t>
      </w:r>
    </w:p>
    <w:p w:rsidR="006E1ACC" w:rsidRPr="00A45C34" w:rsidRDefault="006E1ACC" w:rsidP="00F61E3F">
      <w:pPr>
        <w:spacing w:after="0" w:line="240" w:lineRule="auto"/>
        <w:rPr>
          <w:sz w:val="22"/>
        </w:rPr>
      </w:pPr>
      <w:r w:rsidRPr="00A45C34">
        <w:rPr>
          <w:sz w:val="22"/>
        </w:rPr>
        <w:t>Lilia Kieltyka, DECD Brownfields</w:t>
      </w:r>
    </w:p>
    <w:p w:rsidR="006E1ACC" w:rsidRPr="00A45C34" w:rsidRDefault="006E1ACC" w:rsidP="00F61E3F">
      <w:pPr>
        <w:spacing w:after="0" w:line="240" w:lineRule="auto"/>
        <w:rPr>
          <w:sz w:val="22"/>
        </w:rPr>
      </w:pPr>
      <w:r w:rsidRPr="00A45C34">
        <w:rPr>
          <w:sz w:val="22"/>
        </w:rPr>
        <w:t>Mark Lewis, DEEP</w:t>
      </w:r>
    </w:p>
    <w:p w:rsidR="006E1ACC" w:rsidRPr="00A45C34" w:rsidRDefault="006E1ACC" w:rsidP="00F61E3F">
      <w:pPr>
        <w:spacing w:after="0" w:line="240" w:lineRule="auto"/>
        <w:rPr>
          <w:sz w:val="22"/>
        </w:rPr>
      </w:pPr>
      <w:r w:rsidRPr="00A45C34">
        <w:rPr>
          <w:sz w:val="22"/>
        </w:rPr>
        <w:t>Robert Seale, City of Meriden</w:t>
      </w:r>
    </w:p>
    <w:p w:rsidR="006E1ACC" w:rsidRPr="00A45C34" w:rsidRDefault="006E1ACC" w:rsidP="00F61E3F">
      <w:pPr>
        <w:spacing w:after="0" w:line="240" w:lineRule="auto"/>
        <w:rPr>
          <w:sz w:val="22"/>
        </w:rPr>
      </w:pPr>
      <w:r w:rsidRPr="00A45C34">
        <w:rPr>
          <w:sz w:val="22"/>
        </w:rPr>
        <w:t>Mark Papa, Vita Nuova</w:t>
      </w:r>
    </w:p>
    <w:p w:rsidR="006E1ACC" w:rsidRPr="00A45C34" w:rsidRDefault="006E1ACC" w:rsidP="00F61E3F">
      <w:pPr>
        <w:spacing w:after="0" w:line="240" w:lineRule="auto"/>
        <w:rPr>
          <w:sz w:val="22"/>
        </w:rPr>
      </w:pPr>
    </w:p>
    <w:p w:rsidR="00CA3CDD" w:rsidRPr="00A45C34" w:rsidRDefault="00CA3CDD" w:rsidP="00F61E3F">
      <w:pPr>
        <w:spacing w:after="0" w:line="240" w:lineRule="auto"/>
        <w:rPr>
          <w:sz w:val="22"/>
        </w:rPr>
      </w:pPr>
      <w:r w:rsidRPr="00A45C34">
        <w:rPr>
          <w:sz w:val="22"/>
        </w:rPr>
        <w:t xml:space="preserve">Juliet Burdelski presented the following information to those in attendance using a power point presentation, which has been included as an attachment to the minutes.  A summary of the information presented is as follows:  </w:t>
      </w:r>
    </w:p>
    <w:p w:rsidR="00CA3CDD" w:rsidRPr="00A45C34" w:rsidRDefault="00CA3CDD" w:rsidP="00F61E3F">
      <w:pPr>
        <w:spacing w:after="0" w:line="240" w:lineRule="auto"/>
        <w:rPr>
          <w:sz w:val="22"/>
        </w:rPr>
      </w:pPr>
    </w:p>
    <w:p w:rsidR="00EA1BBD" w:rsidRPr="00A45C34" w:rsidRDefault="00EA1BBD" w:rsidP="00EA1BBD">
      <w:pPr>
        <w:pStyle w:val="ListParagraph"/>
        <w:numPr>
          <w:ilvl w:val="0"/>
          <w:numId w:val="12"/>
        </w:numPr>
        <w:spacing w:after="0" w:line="240" w:lineRule="auto"/>
        <w:ind w:left="360"/>
        <w:rPr>
          <w:b/>
          <w:sz w:val="22"/>
        </w:rPr>
      </w:pPr>
      <w:r w:rsidRPr="00A45C34">
        <w:rPr>
          <w:b/>
          <w:sz w:val="22"/>
        </w:rPr>
        <w:t>Assessment Projects-Updates</w:t>
      </w:r>
    </w:p>
    <w:p w:rsidR="00EA1BBD" w:rsidRPr="00A45C34" w:rsidRDefault="00EA1BBD" w:rsidP="00EA1BBD">
      <w:pPr>
        <w:pStyle w:val="ListParagraph"/>
        <w:spacing w:after="0" w:line="240" w:lineRule="auto"/>
        <w:ind w:left="360"/>
        <w:rPr>
          <w:sz w:val="22"/>
        </w:rPr>
      </w:pPr>
    </w:p>
    <w:p w:rsidR="00EA1BBD" w:rsidRPr="00A45C34" w:rsidRDefault="00EA1BBD" w:rsidP="0000777B">
      <w:pPr>
        <w:pStyle w:val="ListParagraph"/>
        <w:numPr>
          <w:ilvl w:val="0"/>
          <w:numId w:val="29"/>
        </w:numPr>
        <w:rPr>
          <w:sz w:val="22"/>
        </w:rPr>
      </w:pPr>
      <w:r w:rsidRPr="00A45C34">
        <w:rPr>
          <w:sz w:val="22"/>
        </w:rPr>
        <w:t xml:space="preserve">USEPA FY 2015 Assessment Grant </w:t>
      </w:r>
    </w:p>
    <w:p w:rsidR="007F4117" w:rsidRPr="00A45C34" w:rsidRDefault="00EA1BBD" w:rsidP="007F4117">
      <w:pPr>
        <w:spacing w:after="0" w:line="240" w:lineRule="auto"/>
        <w:ind w:left="720"/>
        <w:rPr>
          <w:sz w:val="22"/>
        </w:rPr>
      </w:pPr>
      <w:r w:rsidRPr="00A45C34">
        <w:rPr>
          <w:sz w:val="22"/>
        </w:rPr>
        <w:t xml:space="preserve">Juliet Burdelski reported that $200,000 FY2015 USEPA Assessment Grant application was approved.  Under this grant, $148,000 will be available for Phase I/II/III environmental site assessments and $25,000 will be available for site reuse planning at 1 King Place (former Meriden-Wallingford hospital site).  The remaining funds will be used for staff costs, supplies and travel.  </w:t>
      </w:r>
      <w:r w:rsidR="007F4117" w:rsidRPr="00A45C34">
        <w:rPr>
          <w:sz w:val="22"/>
        </w:rPr>
        <w:t xml:space="preserve">Funds are available through 2018.  </w:t>
      </w:r>
    </w:p>
    <w:p w:rsidR="007F4117" w:rsidRPr="00A45C34" w:rsidRDefault="007F4117" w:rsidP="00EA1BBD">
      <w:pPr>
        <w:spacing w:after="0" w:line="240" w:lineRule="auto"/>
        <w:ind w:left="720"/>
        <w:rPr>
          <w:sz w:val="22"/>
        </w:rPr>
      </w:pPr>
      <w:r w:rsidRPr="00A45C34">
        <w:rPr>
          <w:sz w:val="22"/>
        </w:rPr>
        <w:t xml:space="preserve">Tighe &amp; Bond has been selected through a competitive bid process to complete site assessments at 664 West Main Street, also known as Moran’s TV and Appliance and to conduct lead paint testing on the exterior of 51-53 Colony Street.  </w:t>
      </w:r>
      <w:r w:rsidR="00D25395" w:rsidRPr="00A45C34">
        <w:rPr>
          <w:sz w:val="22"/>
        </w:rPr>
        <w:t xml:space="preserve">Phase I has been completed at 664 West Main Street.  Lead paint test has been completed at 51-53-55 Colony Street. A </w:t>
      </w:r>
      <w:r w:rsidR="00A45C34" w:rsidRPr="00A45C34">
        <w:rPr>
          <w:sz w:val="22"/>
        </w:rPr>
        <w:t>c</w:t>
      </w:r>
      <w:r w:rsidR="00D25395" w:rsidRPr="00A45C34">
        <w:rPr>
          <w:sz w:val="22"/>
        </w:rPr>
        <w:t>ommunity garden at 60 Tremont Street is taking place with raise</w:t>
      </w:r>
      <w:r w:rsidR="00A45C34" w:rsidRPr="00A45C34">
        <w:rPr>
          <w:sz w:val="22"/>
        </w:rPr>
        <w:t>d beds.  A</w:t>
      </w:r>
      <w:r w:rsidR="00D25395" w:rsidRPr="00A45C34">
        <w:rPr>
          <w:sz w:val="22"/>
        </w:rPr>
        <w:t xml:space="preserve">bout 20 </w:t>
      </w:r>
      <w:r w:rsidR="00A45C34" w:rsidRPr="00A45C34">
        <w:rPr>
          <w:sz w:val="22"/>
        </w:rPr>
        <w:t>plots have already been put in.  C</w:t>
      </w:r>
      <w:r w:rsidRPr="00A45C34">
        <w:rPr>
          <w:sz w:val="22"/>
        </w:rPr>
        <w:t xml:space="preserve">ommunity groups or residents interested in assessing other sites of concern should contact Juliet </w:t>
      </w:r>
      <w:r w:rsidRPr="00A45C34">
        <w:rPr>
          <w:sz w:val="22"/>
        </w:rPr>
        <w:lastRenderedPageBreak/>
        <w:t>or Paola at the Office of Economic Development</w:t>
      </w:r>
      <w:r w:rsidR="00A45C34" w:rsidRPr="00A45C34">
        <w:rPr>
          <w:sz w:val="22"/>
        </w:rPr>
        <w:t xml:space="preserve"> or Holly Wills from the Council of Neighborhoods</w:t>
      </w:r>
      <w:r w:rsidRPr="00A45C34">
        <w:rPr>
          <w:sz w:val="22"/>
        </w:rPr>
        <w:t xml:space="preserve">.  </w:t>
      </w:r>
      <w:r w:rsidR="00D25395" w:rsidRPr="00A45C34">
        <w:rPr>
          <w:sz w:val="22"/>
        </w:rPr>
        <w:t>Future task 21 Colony Street Phase I and HAZMAT.</w:t>
      </w:r>
    </w:p>
    <w:p w:rsidR="00EA1BBD" w:rsidRPr="00A45C34" w:rsidRDefault="00EA1BBD" w:rsidP="00EA1BBD">
      <w:pPr>
        <w:spacing w:after="0" w:line="240" w:lineRule="auto"/>
        <w:ind w:left="720"/>
        <w:rPr>
          <w:sz w:val="22"/>
        </w:rPr>
      </w:pPr>
    </w:p>
    <w:p w:rsidR="007F2B47" w:rsidRPr="00A45C34" w:rsidRDefault="00EA1BBD" w:rsidP="0000777B">
      <w:pPr>
        <w:pStyle w:val="ListParagraph"/>
        <w:numPr>
          <w:ilvl w:val="0"/>
          <w:numId w:val="29"/>
        </w:numPr>
        <w:rPr>
          <w:sz w:val="22"/>
        </w:rPr>
      </w:pPr>
      <w:r w:rsidRPr="00A45C34">
        <w:rPr>
          <w:sz w:val="22"/>
        </w:rPr>
        <w:t>DECD 2014 Municipal Brownfields Inventory &amp; Assessment Grant for the Mills Public Housing Project: 62 Cedar Street, 144 Mills Memorial, 161 State Street</w:t>
      </w:r>
    </w:p>
    <w:p w:rsidR="00893033" w:rsidRPr="00A45C34" w:rsidRDefault="007F2B47" w:rsidP="00EA1BBD">
      <w:pPr>
        <w:spacing w:after="0" w:line="240" w:lineRule="auto"/>
        <w:ind w:left="720"/>
        <w:rPr>
          <w:sz w:val="22"/>
        </w:rPr>
      </w:pPr>
      <w:r w:rsidRPr="00A45C34">
        <w:rPr>
          <w:sz w:val="22"/>
        </w:rPr>
        <w:t xml:space="preserve">Juliet Burdelski reported City was awarded $200,000 </w:t>
      </w:r>
      <w:r w:rsidR="002D2882" w:rsidRPr="00A45C34">
        <w:rPr>
          <w:sz w:val="22"/>
        </w:rPr>
        <w:t xml:space="preserve">to completed environmental </w:t>
      </w:r>
      <w:r w:rsidRPr="00A45C34">
        <w:rPr>
          <w:sz w:val="22"/>
        </w:rPr>
        <w:t xml:space="preserve">assessments </w:t>
      </w:r>
      <w:r w:rsidR="002D2882" w:rsidRPr="00A45C34">
        <w:rPr>
          <w:sz w:val="22"/>
        </w:rPr>
        <w:t>at the Mills public housing complex</w:t>
      </w:r>
      <w:r w:rsidRPr="00A45C34">
        <w:rPr>
          <w:sz w:val="22"/>
        </w:rPr>
        <w:t>.  City selected AECOM to do assessments and hazardous building material investigation</w:t>
      </w:r>
      <w:r w:rsidR="00CC243B" w:rsidRPr="00A45C34">
        <w:rPr>
          <w:sz w:val="22"/>
        </w:rPr>
        <w:t>. (</w:t>
      </w:r>
      <w:r w:rsidRPr="00A45C34">
        <w:rPr>
          <w:sz w:val="22"/>
        </w:rPr>
        <w:t>177 State Street was assessed under a prior state grant.</w:t>
      </w:r>
      <w:r w:rsidR="00CC243B" w:rsidRPr="00A45C34">
        <w:rPr>
          <w:sz w:val="22"/>
        </w:rPr>
        <w:t>)</w:t>
      </w:r>
      <w:r w:rsidRPr="00A45C34">
        <w:rPr>
          <w:sz w:val="22"/>
        </w:rPr>
        <w:t xml:space="preserve">    A</w:t>
      </w:r>
      <w:r w:rsidR="000C5454" w:rsidRPr="00A45C34">
        <w:rPr>
          <w:sz w:val="22"/>
        </w:rPr>
        <w:t xml:space="preserve">ll sites have been </w:t>
      </w:r>
      <w:r w:rsidRPr="00A45C34">
        <w:rPr>
          <w:sz w:val="22"/>
        </w:rPr>
        <w:t>investigated and reports for each site are being compiled by AECOM.  John Bondos reports that estimated cost to demolish Mills structures and abatement is approximately $</w:t>
      </w:r>
      <w:r w:rsidR="00A45C34" w:rsidRPr="00A45C34">
        <w:rPr>
          <w:sz w:val="22"/>
        </w:rPr>
        <w:t>2</w:t>
      </w:r>
      <w:r w:rsidRPr="00A45C34">
        <w:rPr>
          <w:sz w:val="22"/>
        </w:rPr>
        <w:t xml:space="preserve"> million</w:t>
      </w:r>
      <w:r w:rsidR="00A45C34" w:rsidRPr="00A45C34">
        <w:rPr>
          <w:sz w:val="22"/>
        </w:rPr>
        <w:t>.  A</w:t>
      </w:r>
      <w:r w:rsidRPr="00A45C34">
        <w:rPr>
          <w:sz w:val="22"/>
        </w:rPr>
        <w:t xml:space="preserve">ECOM also completed Geotech evaluation of soils at 161 and 177 State Street.  </w:t>
      </w:r>
      <w:r w:rsidR="000C5454" w:rsidRPr="00A45C34">
        <w:rPr>
          <w:sz w:val="22"/>
        </w:rPr>
        <w:t>John Bondos reported soils are similar to what was found at the Hub site.</w:t>
      </w:r>
      <w:r w:rsidRPr="00A45C34">
        <w:rPr>
          <w:sz w:val="22"/>
        </w:rPr>
        <w:t xml:space="preserve">  .</w:t>
      </w:r>
      <w:r w:rsidR="007504AC" w:rsidRPr="00A45C34">
        <w:rPr>
          <w:sz w:val="22"/>
        </w:rPr>
        <w:t xml:space="preserve"> </w:t>
      </w:r>
      <w:r w:rsidRPr="00A45C34">
        <w:rPr>
          <w:sz w:val="22"/>
        </w:rPr>
        <w:t xml:space="preserve">  </w:t>
      </w:r>
    </w:p>
    <w:p w:rsidR="00E14184" w:rsidRPr="00A45C34" w:rsidRDefault="00E14184" w:rsidP="00EA1BBD">
      <w:pPr>
        <w:spacing w:after="0" w:line="240" w:lineRule="auto"/>
        <w:ind w:left="720"/>
        <w:rPr>
          <w:sz w:val="22"/>
        </w:rPr>
      </w:pPr>
    </w:p>
    <w:p w:rsidR="002D2882" w:rsidRPr="00A45C34" w:rsidRDefault="00E14184" w:rsidP="00E14184">
      <w:pPr>
        <w:pStyle w:val="ListParagraph"/>
        <w:numPr>
          <w:ilvl w:val="0"/>
          <w:numId w:val="28"/>
        </w:numPr>
        <w:spacing w:after="0" w:line="240" w:lineRule="auto"/>
        <w:rPr>
          <w:sz w:val="22"/>
        </w:rPr>
      </w:pPr>
      <w:r w:rsidRPr="00A45C34">
        <w:rPr>
          <w:sz w:val="22"/>
        </w:rPr>
        <w:t xml:space="preserve">DECD 2016 Brownfields Areawide Revitalization Planning Grant. </w:t>
      </w:r>
    </w:p>
    <w:p w:rsidR="002D2882" w:rsidRPr="00A45C34" w:rsidRDefault="002D2882" w:rsidP="002D2882">
      <w:pPr>
        <w:pStyle w:val="ListParagraph"/>
        <w:spacing w:after="0" w:line="240" w:lineRule="auto"/>
        <w:rPr>
          <w:sz w:val="22"/>
        </w:rPr>
      </w:pPr>
    </w:p>
    <w:p w:rsidR="00E14184" w:rsidRPr="00A45C34" w:rsidRDefault="00E14184" w:rsidP="002D2882">
      <w:pPr>
        <w:pStyle w:val="ListParagraph"/>
        <w:spacing w:after="0" w:line="240" w:lineRule="auto"/>
        <w:rPr>
          <w:sz w:val="22"/>
        </w:rPr>
      </w:pPr>
      <w:r w:rsidRPr="00A45C34">
        <w:rPr>
          <w:sz w:val="22"/>
        </w:rPr>
        <w:t xml:space="preserve">The </w:t>
      </w:r>
      <w:r w:rsidR="002D2882" w:rsidRPr="00A45C34">
        <w:rPr>
          <w:sz w:val="22"/>
        </w:rPr>
        <w:t>City was awarded $100,000 to complete planning in the downtown area.  C</w:t>
      </w:r>
      <w:r w:rsidRPr="00A45C34">
        <w:rPr>
          <w:sz w:val="22"/>
        </w:rPr>
        <w:t>ommunity involv</w:t>
      </w:r>
      <w:r w:rsidR="002D2882" w:rsidRPr="00A45C34">
        <w:rPr>
          <w:sz w:val="22"/>
        </w:rPr>
        <w:t xml:space="preserve">ement will be needed and outside </w:t>
      </w:r>
      <w:r w:rsidRPr="00A45C34">
        <w:rPr>
          <w:sz w:val="22"/>
        </w:rPr>
        <w:t>professional co</w:t>
      </w:r>
      <w:r w:rsidR="002D2882" w:rsidRPr="00A45C34">
        <w:rPr>
          <w:sz w:val="22"/>
        </w:rPr>
        <w:t>nsultants in some areas will be hired.</w:t>
      </w:r>
      <w:r w:rsidR="00946D9B" w:rsidRPr="00A45C34">
        <w:rPr>
          <w:sz w:val="22"/>
        </w:rPr>
        <w:t xml:space="preserve"> RFQ went out</w:t>
      </w:r>
      <w:r w:rsidR="004B481E" w:rsidRPr="00A45C34">
        <w:rPr>
          <w:sz w:val="22"/>
        </w:rPr>
        <w:t xml:space="preserve"> and there were good responses, selection in process and to be completed,</w:t>
      </w:r>
      <w:r w:rsidR="007504AC" w:rsidRPr="00A45C34">
        <w:rPr>
          <w:sz w:val="22"/>
        </w:rPr>
        <w:t xml:space="preserve"> by September 2016.</w:t>
      </w:r>
      <w:r w:rsidR="002D2882" w:rsidRPr="00A45C34">
        <w:rPr>
          <w:sz w:val="22"/>
        </w:rPr>
        <w:t xml:space="preserve">  Tasks to be completed over the next two years include:  </w:t>
      </w:r>
      <w:r w:rsidRPr="00A45C34">
        <w:rPr>
          <w:sz w:val="22"/>
        </w:rPr>
        <w:t xml:space="preserve"> </w:t>
      </w:r>
    </w:p>
    <w:p w:rsidR="00B43642" w:rsidRPr="00A45C34" w:rsidRDefault="00E14184" w:rsidP="002D2882">
      <w:pPr>
        <w:pStyle w:val="ListParagraph"/>
        <w:numPr>
          <w:ilvl w:val="0"/>
          <w:numId w:val="30"/>
        </w:numPr>
        <w:spacing w:after="0" w:line="240" w:lineRule="auto"/>
        <w:ind w:left="1080"/>
        <w:rPr>
          <w:b/>
          <w:sz w:val="22"/>
        </w:rPr>
      </w:pPr>
      <w:r w:rsidRPr="00A45C34">
        <w:rPr>
          <w:sz w:val="22"/>
        </w:rPr>
        <w:t xml:space="preserve">Analyze the potential to attract commercial/retail to the </w:t>
      </w:r>
      <w:r w:rsidR="002D2882" w:rsidRPr="00A45C34">
        <w:rPr>
          <w:sz w:val="22"/>
        </w:rPr>
        <w:t>transit oriented development (TOD)</w:t>
      </w:r>
      <w:r w:rsidRPr="00A45C34">
        <w:rPr>
          <w:sz w:val="22"/>
        </w:rPr>
        <w:t xml:space="preserve"> projects in the pipeline.</w:t>
      </w:r>
    </w:p>
    <w:p w:rsidR="00E14184" w:rsidRPr="00A45C34" w:rsidRDefault="002D2882" w:rsidP="002D2882">
      <w:pPr>
        <w:pStyle w:val="ListParagraph"/>
        <w:numPr>
          <w:ilvl w:val="0"/>
          <w:numId w:val="30"/>
        </w:numPr>
        <w:spacing w:after="0" w:line="240" w:lineRule="auto"/>
        <w:ind w:left="1080"/>
        <w:rPr>
          <w:b/>
          <w:sz w:val="22"/>
        </w:rPr>
      </w:pPr>
      <w:r w:rsidRPr="00A45C34">
        <w:rPr>
          <w:sz w:val="22"/>
        </w:rPr>
        <w:t xml:space="preserve">Review analysis with </w:t>
      </w:r>
      <w:r w:rsidR="00E14184" w:rsidRPr="00A45C34">
        <w:rPr>
          <w:sz w:val="22"/>
        </w:rPr>
        <w:t>developers, local business owner</w:t>
      </w:r>
      <w:r w:rsidRPr="00A45C34">
        <w:rPr>
          <w:sz w:val="22"/>
        </w:rPr>
        <w:t xml:space="preserve">s, property owners, and brokers, and work together to implement recommendations.  </w:t>
      </w:r>
    </w:p>
    <w:p w:rsidR="00E14184" w:rsidRPr="00A45C34" w:rsidRDefault="00E14184" w:rsidP="002D2882">
      <w:pPr>
        <w:pStyle w:val="ListParagraph"/>
        <w:numPr>
          <w:ilvl w:val="0"/>
          <w:numId w:val="30"/>
        </w:numPr>
        <w:spacing w:after="0" w:line="240" w:lineRule="auto"/>
        <w:ind w:left="1080"/>
        <w:rPr>
          <w:b/>
          <w:sz w:val="22"/>
        </w:rPr>
      </w:pPr>
      <w:r w:rsidRPr="00A45C34">
        <w:rPr>
          <w:sz w:val="22"/>
        </w:rPr>
        <w:t xml:space="preserve">Identity potential commercial/retail/office </w:t>
      </w:r>
      <w:r w:rsidR="002D2882" w:rsidRPr="00A45C34">
        <w:rPr>
          <w:sz w:val="22"/>
        </w:rPr>
        <w:t xml:space="preserve">development </w:t>
      </w:r>
      <w:r w:rsidRPr="00A45C34">
        <w:rPr>
          <w:sz w:val="22"/>
        </w:rPr>
        <w:t>partners.</w:t>
      </w:r>
    </w:p>
    <w:p w:rsidR="00E14184" w:rsidRPr="00A45C34" w:rsidRDefault="00E14184" w:rsidP="002D2882">
      <w:pPr>
        <w:pStyle w:val="ListParagraph"/>
        <w:numPr>
          <w:ilvl w:val="0"/>
          <w:numId w:val="30"/>
        </w:numPr>
        <w:spacing w:after="0" w:line="240" w:lineRule="auto"/>
        <w:ind w:left="1080"/>
        <w:rPr>
          <w:b/>
          <w:sz w:val="22"/>
        </w:rPr>
      </w:pPr>
      <w:r w:rsidRPr="00A45C34">
        <w:rPr>
          <w:sz w:val="22"/>
        </w:rPr>
        <w:t>Develop communication tools and outreach materials for potential developers and new businesses.</w:t>
      </w:r>
    </w:p>
    <w:p w:rsidR="00E14184" w:rsidRPr="00A45C34" w:rsidRDefault="00E14184" w:rsidP="00E14184">
      <w:pPr>
        <w:pStyle w:val="ListParagraph"/>
        <w:spacing w:after="0" w:line="240" w:lineRule="auto"/>
        <w:ind w:left="1440"/>
        <w:rPr>
          <w:b/>
          <w:sz w:val="22"/>
        </w:rPr>
      </w:pPr>
    </w:p>
    <w:p w:rsidR="00E14184" w:rsidRPr="00A45C34" w:rsidRDefault="008800F9" w:rsidP="00E14184">
      <w:pPr>
        <w:pStyle w:val="ListParagraph"/>
        <w:numPr>
          <w:ilvl w:val="0"/>
          <w:numId w:val="12"/>
        </w:numPr>
        <w:spacing w:after="0" w:line="240" w:lineRule="auto"/>
        <w:ind w:left="360"/>
        <w:rPr>
          <w:b/>
          <w:sz w:val="22"/>
        </w:rPr>
      </w:pPr>
      <w:r w:rsidRPr="00A45C34">
        <w:rPr>
          <w:b/>
          <w:sz w:val="22"/>
        </w:rPr>
        <w:t>Cleanup Projects</w:t>
      </w:r>
    </w:p>
    <w:p w:rsidR="008800F9" w:rsidRPr="00A45C34" w:rsidRDefault="008800F9" w:rsidP="008800F9">
      <w:pPr>
        <w:spacing w:after="0" w:line="240" w:lineRule="auto"/>
        <w:rPr>
          <w:sz w:val="22"/>
        </w:rPr>
      </w:pPr>
    </w:p>
    <w:p w:rsidR="003A7354" w:rsidRPr="00A45C34" w:rsidRDefault="00E14184" w:rsidP="008800F9">
      <w:pPr>
        <w:pStyle w:val="ListParagraph"/>
        <w:numPr>
          <w:ilvl w:val="0"/>
          <w:numId w:val="31"/>
        </w:numPr>
        <w:spacing w:after="0" w:line="240" w:lineRule="auto"/>
        <w:rPr>
          <w:sz w:val="22"/>
        </w:rPr>
      </w:pPr>
      <w:r w:rsidRPr="00A45C34">
        <w:rPr>
          <w:sz w:val="22"/>
        </w:rPr>
        <w:t>116 Cook Ave. Clean Up (USEPA grant, HUD Section 108 CDBG Loan), Tighe &amp; Bond</w:t>
      </w:r>
      <w:r w:rsidR="0000777B" w:rsidRPr="00A45C34">
        <w:rPr>
          <w:sz w:val="22"/>
        </w:rPr>
        <w:t xml:space="preserve"> has been retai</w:t>
      </w:r>
      <w:r w:rsidR="00125543" w:rsidRPr="00A45C34">
        <w:rPr>
          <w:color w:val="000000" w:themeColor="text1"/>
          <w:sz w:val="22"/>
        </w:rPr>
        <w:t xml:space="preserve">ned by the City </w:t>
      </w:r>
      <w:r w:rsidR="0095008E" w:rsidRPr="00A45C34">
        <w:rPr>
          <w:color w:val="000000" w:themeColor="text1"/>
          <w:sz w:val="22"/>
        </w:rPr>
        <w:t>to be the</w:t>
      </w:r>
      <w:r w:rsidR="00125543" w:rsidRPr="00A45C34">
        <w:rPr>
          <w:color w:val="000000" w:themeColor="text1"/>
          <w:sz w:val="22"/>
        </w:rPr>
        <w:t xml:space="preserve"> Licensed Environmental Professional on the project</w:t>
      </w:r>
      <w:r w:rsidR="003A7354" w:rsidRPr="00A45C34">
        <w:rPr>
          <w:color w:val="000000" w:themeColor="text1"/>
          <w:sz w:val="22"/>
        </w:rPr>
        <w:t xml:space="preserve">. </w:t>
      </w:r>
      <w:r w:rsidR="003377AB" w:rsidRPr="00A45C34">
        <w:rPr>
          <w:color w:val="000000" w:themeColor="text1"/>
          <w:sz w:val="22"/>
        </w:rPr>
        <w:t xml:space="preserve"> </w:t>
      </w:r>
      <w:r w:rsidR="00C75C99" w:rsidRPr="00A45C34">
        <w:rPr>
          <w:color w:val="000000" w:themeColor="text1"/>
          <w:sz w:val="22"/>
        </w:rPr>
        <w:t>Funding for the project is provided by a USEPA Cleanup grant</w:t>
      </w:r>
      <w:r w:rsidR="00EA1BBD" w:rsidRPr="00A45C34">
        <w:rPr>
          <w:color w:val="000000" w:themeColor="text1"/>
          <w:sz w:val="22"/>
        </w:rPr>
        <w:t xml:space="preserve"> and HUD/CDBG Section 108 loan funds</w:t>
      </w:r>
      <w:r w:rsidR="00C75C99" w:rsidRPr="00A45C34">
        <w:rPr>
          <w:color w:val="000000" w:themeColor="text1"/>
          <w:sz w:val="22"/>
        </w:rPr>
        <w:t xml:space="preserve">.  </w:t>
      </w:r>
      <w:r w:rsidR="004B481E" w:rsidRPr="00A45C34">
        <w:rPr>
          <w:color w:val="000000" w:themeColor="text1"/>
          <w:sz w:val="22"/>
        </w:rPr>
        <w:t xml:space="preserve">Clean up to start July 26, 2016 </w:t>
      </w:r>
      <w:r w:rsidR="00A45C34" w:rsidRPr="00A45C34">
        <w:rPr>
          <w:color w:val="000000" w:themeColor="text1"/>
          <w:sz w:val="22"/>
        </w:rPr>
        <w:t xml:space="preserve">(Select Demo) </w:t>
      </w:r>
      <w:r w:rsidR="004B481E" w:rsidRPr="00A45C34">
        <w:rPr>
          <w:color w:val="000000" w:themeColor="text1"/>
          <w:sz w:val="22"/>
        </w:rPr>
        <w:t xml:space="preserve">and to be completed within eight weeks. </w:t>
      </w:r>
      <w:r w:rsidR="003377AB" w:rsidRPr="00A45C34">
        <w:rPr>
          <w:color w:val="000000" w:themeColor="text1"/>
          <w:sz w:val="22"/>
        </w:rPr>
        <w:t xml:space="preserve">Key items reported by </w:t>
      </w:r>
      <w:r w:rsidR="0072731E" w:rsidRPr="00A45C34">
        <w:rPr>
          <w:color w:val="000000" w:themeColor="text1"/>
          <w:sz w:val="22"/>
        </w:rPr>
        <w:t xml:space="preserve">Jim Olsen, Tighe &amp; Bond:  </w:t>
      </w:r>
    </w:p>
    <w:p w:rsidR="005C04DB" w:rsidRPr="00A45C34" w:rsidRDefault="005C04DB" w:rsidP="005C04DB">
      <w:pPr>
        <w:pStyle w:val="ListParagraph"/>
        <w:spacing w:after="0" w:line="240" w:lineRule="auto"/>
        <w:rPr>
          <w:color w:val="000000" w:themeColor="text1"/>
          <w:sz w:val="22"/>
          <w:shd w:val="clear" w:color="auto" w:fill="FFFFFF"/>
        </w:rPr>
      </w:pPr>
    </w:p>
    <w:p w:rsidR="00D47FA7" w:rsidRPr="00A45C34" w:rsidRDefault="00D47FA7" w:rsidP="007410A1">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UST removal </w:t>
      </w:r>
      <w:r w:rsidR="00EA1BBD" w:rsidRPr="00A45C34">
        <w:rPr>
          <w:color w:val="000000" w:themeColor="text1"/>
          <w:sz w:val="22"/>
          <w:shd w:val="clear" w:color="auto" w:fill="FFFFFF"/>
        </w:rPr>
        <w:t xml:space="preserve">was </w:t>
      </w:r>
      <w:r w:rsidRPr="00A45C34">
        <w:rPr>
          <w:color w:val="000000" w:themeColor="text1"/>
          <w:sz w:val="22"/>
          <w:shd w:val="clear" w:color="auto" w:fill="FFFFFF"/>
        </w:rPr>
        <w:t xml:space="preserve">completed under USEPA cleanup grant.  Balance of USEPA grant will be used to remove hazardous debris from building.  </w:t>
      </w:r>
    </w:p>
    <w:p w:rsidR="002F0B17" w:rsidRPr="00A45C34" w:rsidRDefault="00D47FA7" w:rsidP="007410A1">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Tighe &amp; Bond </w:t>
      </w:r>
      <w:r w:rsidR="006E27B0" w:rsidRPr="00A45C34">
        <w:rPr>
          <w:color w:val="000000" w:themeColor="text1"/>
          <w:sz w:val="22"/>
          <w:shd w:val="clear" w:color="auto" w:fill="FFFFFF"/>
        </w:rPr>
        <w:t>has completed</w:t>
      </w:r>
      <w:r w:rsidR="00A1701A" w:rsidRPr="00A45C34">
        <w:rPr>
          <w:color w:val="000000" w:themeColor="text1"/>
          <w:sz w:val="22"/>
          <w:shd w:val="clear" w:color="auto" w:fill="FFFFFF"/>
        </w:rPr>
        <w:t xml:space="preserve"> tech specs for </w:t>
      </w:r>
      <w:r w:rsidR="007410A1" w:rsidRPr="00A45C34">
        <w:rPr>
          <w:color w:val="000000" w:themeColor="text1"/>
          <w:sz w:val="22"/>
          <w:shd w:val="clear" w:color="auto" w:fill="FFFFFF"/>
        </w:rPr>
        <w:t>hazardous debris removal</w:t>
      </w:r>
      <w:r w:rsidRPr="00A45C34">
        <w:rPr>
          <w:color w:val="000000" w:themeColor="text1"/>
          <w:sz w:val="22"/>
          <w:shd w:val="clear" w:color="auto" w:fill="FFFFFF"/>
        </w:rPr>
        <w:t>.  Tech specs will include</w:t>
      </w:r>
      <w:r w:rsidR="002F0B17" w:rsidRPr="00A45C34">
        <w:rPr>
          <w:color w:val="000000" w:themeColor="text1"/>
          <w:sz w:val="22"/>
          <w:shd w:val="clear" w:color="auto" w:fill="FFFFFF"/>
        </w:rPr>
        <w:t xml:space="preserve"> assessment for PCB, revaluation of asbestos removal and abatement design.</w:t>
      </w:r>
      <w:r w:rsidRPr="00A45C34">
        <w:rPr>
          <w:color w:val="000000" w:themeColor="text1"/>
          <w:sz w:val="22"/>
          <w:shd w:val="clear" w:color="auto" w:fill="FFFFFF"/>
        </w:rPr>
        <w:t xml:space="preserve">  </w:t>
      </w:r>
      <w:r w:rsidR="006E27B0" w:rsidRPr="00A45C34">
        <w:rPr>
          <w:color w:val="000000" w:themeColor="text1"/>
          <w:sz w:val="22"/>
          <w:shd w:val="clear" w:color="auto" w:fill="FFFFFF"/>
        </w:rPr>
        <w:t xml:space="preserve">Contractor bid to be leased in the next two weeks.  Cleanup work to </w:t>
      </w:r>
      <w:r w:rsidR="00794DA1" w:rsidRPr="00A45C34">
        <w:rPr>
          <w:color w:val="000000" w:themeColor="text1"/>
          <w:sz w:val="22"/>
          <w:shd w:val="clear" w:color="auto" w:fill="FFFFFF"/>
        </w:rPr>
        <w:t>be started over the summer and to be completed by fall.</w:t>
      </w:r>
      <w:r w:rsidR="007410A1" w:rsidRPr="00A45C34">
        <w:rPr>
          <w:color w:val="000000" w:themeColor="text1"/>
          <w:sz w:val="22"/>
          <w:shd w:val="clear" w:color="auto" w:fill="FFFFFF"/>
        </w:rPr>
        <w:t xml:space="preserve">  </w:t>
      </w:r>
    </w:p>
    <w:p w:rsidR="006E2ED3" w:rsidRPr="00A45C34" w:rsidRDefault="006E2ED3" w:rsidP="007410A1">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Poko Partners </w:t>
      </w:r>
      <w:r w:rsidR="006E27B0" w:rsidRPr="00A45C34">
        <w:rPr>
          <w:color w:val="000000" w:themeColor="text1"/>
          <w:sz w:val="22"/>
          <w:shd w:val="clear" w:color="auto" w:fill="FFFFFF"/>
        </w:rPr>
        <w:t xml:space="preserve">selected as preferred developer to develop property following cleanup.  </w:t>
      </w:r>
    </w:p>
    <w:p w:rsidR="0095008E" w:rsidRPr="00A45C34" w:rsidRDefault="0095008E" w:rsidP="00F61E3F">
      <w:pPr>
        <w:spacing w:after="0" w:line="240" w:lineRule="auto"/>
        <w:rPr>
          <w:color w:val="000000" w:themeColor="text1"/>
          <w:sz w:val="22"/>
          <w:shd w:val="clear" w:color="auto" w:fill="FFFFFF"/>
        </w:rPr>
      </w:pPr>
    </w:p>
    <w:p w:rsidR="00AF71B7" w:rsidRPr="00A45C34" w:rsidRDefault="00AF71B7" w:rsidP="008800F9">
      <w:pPr>
        <w:pStyle w:val="ListParagraph"/>
        <w:numPr>
          <w:ilvl w:val="0"/>
          <w:numId w:val="31"/>
        </w:numPr>
        <w:spacing w:after="0" w:line="240" w:lineRule="auto"/>
        <w:rPr>
          <w:sz w:val="22"/>
        </w:rPr>
      </w:pPr>
      <w:r w:rsidRPr="00A45C34">
        <w:rPr>
          <w:sz w:val="22"/>
        </w:rPr>
        <w:t>11 Crown Street/Record Journal Building Cleanup, Demo and Redevelopment project (DECD grant for cleanup, demo), Tighe &amp; Bond</w:t>
      </w:r>
    </w:p>
    <w:p w:rsidR="00AF71B7" w:rsidRPr="00A45C34" w:rsidRDefault="00AF71B7" w:rsidP="00AF71B7">
      <w:pPr>
        <w:pStyle w:val="ListParagraph"/>
        <w:spacing w:after="0" w:line="240" w:lineRule="auto"/>
        <w:rPr>
          <w:sz w:val="22"/>
        </w:rPr>
      </w:pPr>
    </w:p>
    <w:p w:rsidR="00AF71B7" w:rsidRPr="00A45C34" w:rsidRDefault="00AF71B7" w:rsidP="00AF71B7">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City awarded funds for remediation and demolition of existing structures to advance new development 11 Crown Street.  </w:t>
      </w:r>
    </w:p>
    <w:p w:rsidR="00AF71B7" w:rsidRPr="00A45C34" w:rsidRDefault="00AF71B7" w:rsidP="00AF71B7">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lastRenderedPageBreak/>
        <w:t xml:space="preserve">Phase I/II/III &amp; Haz Mat Building survey completed. $1.7 million available to demolish structure and complete remediation.  </w:t>
      </w:r>
    </w:p>
    <w:p w:rsidR="00AF71B7" w:rsidRPr="00A45C34" w:rsidRDefault="00AF71B7" w:rsidP="00AF71B7">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Site entered into State of CT voluntary remediation program-Abandoned Brownfield Cleanup Program (ABC). </w:t>
      </w:r>
    </w:p>
    <w:p w:rsidR="00AF71B7" w:rsidRPr="00A45C34" w:rsidRDefault="00AF71B7" w:rsidP="00AF71B7">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 Tighe &amp; Bond has been selected at the Licensed Environmental Professional for the project.  </w:t>
      </w:r>
    </w:p>
    <w:p w:rsidR="00AF71B7" w:rsidRPr="00A45C34" w:rsidRDefault="00AF71B7" w:rsidP="00AF71B7">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T&amp;B has been retained to complete technical specifications and bid documents for demo and remediation.  B</w:t>
      </w:r>
      <w:r w:rsidR="00F208E9" w:rsidRPr="00A45C34">
        <w:rPr>
          <w:color w:val="000000" w:themeColor="text1"/>
          <w:sz w:val="22"/>
          <w:shd w:val="clear" w:color="auto" w:fill="FFFFFF"/>
        </w:rPr>
        <w:t xml:space="preserve">id documents to be available </w:t>
      </w:r>
      <w:r w:rsidR="00A45C34" w:rsidRPr="00A45C34">
        <w:rPr>
          <w:color w:val="000000" w:themeColor="text1"/>
          <w:sz w:val="22"/>
          <w:shd w:val="clear" w:color="auto" w:fill="FFFFFF"/>
        </w:rPr>
        <w:t xml:space="preserve">summer </w:t>
      </w:r>
      <w:r w:rsidRPr="00A45C34">
        <w:rPr>
          <w:color w:val="000000" w:themeColor="text1"/>
          <w:sz w:val="22"/>
          <w:shd w:val="clear" w:color="auto" w:fill="FFFFFF"/>
        </w:rPr>
        <w:t xml:space="preserve">2016. Building demolition is projected for </w:t>
      </w:r>
      <w:r w:rsidR="00A45C34" w:rsidRPr="00A45C34">
        <w:rPr>
          <w:color w:val="000000" w:themeColor="text1"/>
          <w:sz w:val="22"/>
          <w:shd w:val="clear" w:color="auto" w:fill="FFFFFF"/>
        </w:rPr>
        <w:t xml:space="preserve">late </w:t>
      </w:r>
      <w:r w:rsidRPr="00A45C34">
        <w:rPr>
          <w:color w:val="000000" w:themeColor="text1"/>
          <w:sz w:val="22"/>
          <w:shd w:val="clear" w:color="auto" w:fill="FFFFFF"/>
        </w:rPr>
        <w:t xml:space="preserve">2016. </w:t>
      </w:r>
    </w:p>
    <w:p w:rsidR="00F208E9" w:rsidRPr="00A45C34" w:rsidRDefault="00F208E9" w:rsidP="00AF71B7">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Road closures will be required and traffic management plan to be put in place, project to last eight weeks.</w:t>
      </w:r>
    </w:p>
    <w:p w:rsidR="00AF71B7" w:rsidRPr="00A45C34" w:rsidRDefault="00AF71B7" w:rsidP="00AF71B7">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The Michaels Organization was selecte</w:t>
      </w:r>
      <w:r w:rsidR="00A20AD8" w:rsidRPr="00A45C34">
        <w:rPr>
          <w:color w:val="000000" w:themeColor="text1"/>
          <w:sz w:val="22"/>
          <w:shd w:val="clear" w:color="auto" w:fill="FFFFFF"/>
        </w:rPr>
        <w:t>d as Master Developer-July 2015. A Master Development agreement is in place as of Marc</w:t>
      </w:r>
      <w:r w:rsidR="00A45C34" w:rsidRPr="00A45C34">
        <w:rPr>
          <w:color w:val="000000" w:themeColor="text1"/>
          <w:sz w:val="22"/>
          <w:shd w:val="clear" w:color="auto" w:fill="FFFFFF"/>
        </w:rPr>
        <w:t>h 2016 for the development of 81</w:t>
      </w:r>
      <w:r w:rsidR="00A20AD8" w:rsidRPr="00A45C34">
        <w:rPr>
          <w:color w:val="000000" w:themeColor="text1"/>
          <w:sz w:val="22"/>
          <w:shd w:val="clear" w:color="auto" w:fill="FFFFFF"/>
        </w:rPr>
        <w:t xml:space="preserve"> units.</w:t>
      </w:r>
    </w:p>
    <w:p w:rsidR="00AF71B7" w:rsidRPr="00A45C34" w:rsidRDefault="00AF71B7" w:rsidP="00AF71B7">
      <w:pPr>
        <w:spacing w:after="0" w:line="240" w:lineRule="auto"/>
        <w:rPr>
          <w:sz w:val="22"/>
        </w:rPr>
      </w:pPr>
    </w:p>
    <w:p w:rsidR="0095008E" w:rsidRPr="00A45C34" w:rsidRDefault="00A45C34" w:rsidP="008800F9">
      <w:pPr>
        <w:pStyle w:val="ListParagraph"/>
        <w:numPr>
          <w:ilvl w:val="0"/>
          <w:numId w:val="31"/>
        </w:numPr>
        <w:spacing w:after="0" w:line="240" w:lineRule="auto"/>
        <w:rPr>
          <w:color w:val="000000" w:themeColor="text1"/>
          <w:sz w:val="22"/>
          <w:shd w:val="clear" w:color="auto" w:fill="FFFFFF"/>
        </w:rPr>
      </w:pPr>
      <w:r w:rsidRPr="00A45C34">
        <w:rPr>
          <w:color w:val="000000" w:themeColor="text1"/>
          <w:sz w:val="22"/>
          <w:shd w:val="clear" w:color="auto" w:fill="FFFFFF"/>
        </w:rPr>
        <w:t>Meriden Green</w:t>
      </w:r>
      <w:r w:rsidR="0095008E" w:rsidRPr="00A45C34">
        <w:rPr>
          <w:color w:val="000000" w:themeColor="text1"/>
          <w:sz w:val="22"/>
          <w:shd w:val="clear" w:color="auto" w:fill="FFFFFF"/>
        </w:rPr>
        <w:t>/50 East Main Remediation/Flood Control/Park Project</w:t>
      </w:r>
    </w:p>
    <w:p w:rsidR="002E5EF5" w:rsidRPr="00A45C34" w:rsidRDefault="004B647B" w:rsidP="007410A1">
      <w:pPr>
        <w:spacing w:after="0" w:line="240" w:lineRule="auto"/>
        <w:ind w:left="720"/>
        <w:rPr>
          <w:color w:val="000000" w:themeColor="text1"/>
          <w:sz w:val="22"/>
        </w:rPr>
      </w:pPr>
      <w:r w:rsidRPr="00A45C34">
        <w:rPr>
          <w:color w:val="000000" w:themeColor="text1"/>
          <w:sz w:val="22"/>
        </w:rPr>
        <w:t>AECOM</w:t>
      </w:r>
      <w:r w:rsidR="00C75C99" w:rsidRPr="00A45C34">
        <w:rPr>
          <w:color w:val="000000" w:themeColor="text1"/>
          <w:sz w:val="22"/>
        </w:rPr>
        <w:t xml:space="preserve"> has been retained by the City to be the Licensed Environmen</w:t>
      </w:r>
      <w:r w:rsidR="004E09E4" w:rsidRPr="00A45C34">
        <w:rPr>
          <w:color w:val="000000" w:themeColor="text1"/>
          <w:sz w:val="22"/>
        </w:rPr>
        <w:t>tal Professional on the project</w:t>
      </w:r>
      <w:r w:rsidR="00D91836" w:rsidRPr="00A45C34">
        <w:rPr>
          <w:color w:val="000000" w:themeColor="text1"/>
          <w:sz w:val="22"/>
        </w:rPr>
        <w:t xml:space="preserve">.  </w:t>
      </w:r>
      <w:r w:rsidR="00C75C99" w:rsidRPr="00A45C34">
        <w:rPr>
          <w:color w:val="000000" w:themeColor="text1"/>
          <w:sz w:val="22"/>
        </w:rPr>
        <w:t xml:space="preserve">Funding for the cleanup of 50 East Main Street is provided by a </w:t>
      </w:r>
      <w:r w:rsidR="00681BEC" w:rsidRPr="00A45C34">
        <w:rPr>
          <w:color w:val="000000" w:themeColor="text1"/>
          <w:sz w:val="22"/>
        </w:rPr>
        <w:t xml:space="preserve">$240,000 </w:t>
      </w:r>
      <w:r w:rsidR="00C75C99" w:rsidRPr="00A45C34">
        <w:rPr>
          <w:color w:val="000000" w:themeColor="text1"/>
          <w:sz w:val="22"/>
        </w:rPr>
        <w:t xml:space="preserve">USEPA Cleanup grant.  </w:t>
      </w:r>
      <w:r w:rsidR="004E09E4" w:rsidRPr="00A45C34">
        <w:rPr>
          <w:color w:val="000000" w:themeColor="text1"/>
          <w:sz w:val="22"/>
        </w:rPr>
        <w:t xml:space="preserve">A total of $12.9 million in EPA, </w:t>
      </w:r>
      <w:r w:rsidR="007410A1" w:rsidRPr="00A45C34">
        <w:rPr>
          <w:color w:val="000000" w:themeColor="text1"/>
          <w:sz w:val="22"/>
        </w:rPr>
        <w:t xml:space="preserve">DECD and DEEP grants </w:t>
      </w:r>
      <w:r w:rsidR="00C75C99" w:rsidRPr="00A45C34">
        <w:rPr>
          <w:color w:val="000000" w:themeColor="text1"/>
          <w:sz w:val="22"/>
        </w:rPr>
        <w:t>are covering the cleanup and redevelopment of the entire HUB site.</w:t>
      </w:r>
      <w:r w:rsidR="000A19A0" w:rsidRPr="00A45C34">
        <w:rPr>
          <w:color w:val="000000" w:themeColor="text1"/>
          <w:sz w:val="22"/>
        </w:rPr>
        <w:t xml:space="preserve"> </w:t>
      </w:r>
      <w:r w:rsidR="00D91836" w:rsidRPr="00A45C34">
        <w:rPr>
          <w:color w:val="000000" w:themeColor="text1"/>
          <w:sz w:val="22"/>
        </w:rPr>
        <w:t xml:space="preserve">Key items reported by </w:t>
      </w:r>
      <w:r w:rsidR="00C75C99" w:rsidRPr="00A45C34">
        <w:rPr>
          <w:color w:val="000000" w:themeColor="text1"/>
          <w:sz w:val="22"/>
        </w:rPr>
        <w:t>Juliet Burdels</w:t>
      </w:r>
      <w:r w:rsidR="00642E6E" w:rsidRPr="00A45C34">
        <w:rPr>
          <w:color w:val="000000" w:themeColor="text1"/>
          <w:sz w:val="22"/>
        </w:rPr>
        <w:t>ki</w:t>
      </w:r>
      <w:r w:rsidR="00D47FA7" w:rsidRPr="00A45C34">
        <w:rPr>
          <w:color w:val="000000" w:themeColor="text1"/>
          <w:sz w:val="22"/>
        </w:rPr>
        <w:t>, John Bondos and Bob Ba</w:t>
      </w:r>
      <w:r w:rsidR="000A19A0" w:rsidRPr="00A45C34">
        <w:rPr>
          <w:color w:val="000000" w:themeColor="text1"/>
          <w:sz w:val="22"/>
        </w:rPr>
        <w:t>ss</w:t>
      </w:r>
      <w:r w:rsidR="00D47FA7" w:rsidRPr="00A45C34">
        <w:rPr>
          <w:color w:val="000000" w:themeColor="text1"/>
          <w:sz w:val="22"/>
        </w:rPr>
        <w:t>:</w:t>
      </w:r>
    </w:p>
    <w:p w:rsidR="000A19A0" w:rsidRPr="00A45C34" w:rsidRDefault="00D47FA7" w:rsidP="00F61E3F">
      <w:pPr>
        <w:spacing w:after="0" w:line="240" w:lineRule="auto"/>
        <w:rPr>
          <w:color w:val="000000" w:themeColor="text1"/>
          <w:sz w:val="22"/>
        </w:rPr>
      </w:pPr>
      <w:r w:rsidRPr="00A45C34">
        <w:rPr>
          <w:color w:val="000000" w:themeColor="text1"/>
          <w:sz w:val="22"/>
        </w:rPr>
        <w:t xml:space="preserve">  </w:t>
      </w:r>
    </w:p>
    <w:p w:rsidR="00B56D42" w:rsidRPr="00A45C34" w:rsidRDefault="002E5EF5" w:rsidP="004E09E4">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3 </w:t>
      </w:r>
      <w:r w:rsidR="007410A1" w:rsidRPr="00A45C34">
        <w:rPr>
          <w:color w:val="000000" w:themeColor="text1"/>
          <w:sz w:val="22"/>
          <w:shd w:val="clear" w:color="auto" w:fill="FFFFFF"/>
        </w:rPr>
        <w:t xml:space="preserve">acres within </w:t>
      </w:r>
      <w:r w:rsidR="00A45C34" w:rsidRPr="00A45C34">
        <w:rPr>
          <w:color w:val="000000" w:themeColor="text1"/>
          <w:sz w:val="22"/>
          <w:shd w:val="clear" w:color="auto" w:fill="FFFFFF"/>
        </w:rPr>
        <w:t xml:space="preserve">the site </w:t>
      </w:r>
      <w:r w:rsidR="007410A1" w:rsidRPr="00A45C34">
        <w:rPr>
          <w:color w:val="000000" w:themeColor="text1"/>
          <w:sz w:val="22"/>
          <w:shd w:val="clear" w:color="auto" w:fill="FFFFFF"/>
        </w:rPr>
        <w:t xml:space="preserve">are above the flood plain and are available for development.  </w:t>
      </w:r>
      <w:r w:rsidR="00B56D42" w:rsidRPr="00A45C34">
        <w:rPr>
          <w:color w:val="000000" w:themeColor="text1"/>
          <w:sz w:val="22"/>
          <w:shd w:val="clear" w:color="auto" w:fill="FFFFFF"/>
        </w:rPr>
        <w:t xml:space="preserve">Site construction and remediation </w:t>
      </w:r>
      <w:r w:rsidR="00A45C34" w:rsidRPr="00A45C34">
        <w:rPr>
          <w:color w:val="000000" w:themeColor="text1"/>
          <w:sz w:val="22"/>
          <w:shd w:val="clear" w:color="auto" w:fill="FFFFFF"/>
        </w:rPr>
        <w:t>completed September</w:t>
      </w:r>
      <w:r w:rsidR="00B56D42" w:rsidRPr="00A45C34">
        <w:rPr>
          <w:color w:val="000000" w:themeColor="text1"/>
          <w:sz w:val="22"/>
          <w:shd w:val="clear" w:color="auto" w:fill="FFFFFF"/>
        </w:rPr>
        <w:t xml:space="preserve"> 2016. </w:t>
      </w:r>
      <w:r w:rsidR="00A45C34" w:rsidRPr="00A45C34">
        <w:rPr>
          <w:color w:val="000000" w:themeColor="text1"/>
          <w:sz w:val="22"/>
          <w:shd w:val="clear" w:color="auto" w:fill="FFFFFF"/>
        </w:rPr>
        <w:t xml:space="preserve">AECOM completing project close out documents.  </w:t>
      </w:r>
    </w:p>
    <w:p w:rsidR="00794DA1" w:rsidRPr="00A45C34" w:rsidRDefault="007410A1" w:rsidP="004E09E4">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City selected Pennrose Properties as the preferred developer</w:t>
      </w:r>
      <w:r w:rsidR="00794DA1" w:rsidRPr="00A45C34">
        <w:rPr>
          <w:color w:val="000000" w:themeColor="text1"/>
          <w:sz w:val="22"/>
          <w:shd w:val="clear" w:color="auto" w:fill="FFFFFF"/>
        </w:rPr>
        <w:t xml:space="preserve">. These developments will be </w:t>
      </w:r>
      <w:r w:rsidR="00A45C34" w:rsidRPr="00A45C34">
        <w:rPr>
          <w:color w:val="000000" w:themeColor="text1"/>
          <w:sz w:val="22"/>
          <w:shd w:val="clear" w:color="auto" w:fill="FFFFFF"/>
        </w:rPr>
        <w:t xml:space="preserve">80% </w:t>
      </w:r>
      <w:r w:rsidR="00794DA1" w:rsidRPr="00A45C34">
        <w:rPr>
          <w:color w:val="000000" w:themeColor="text1"/>
          <w:sz w:val="22"/>
          <w:shd w:val="clear" w:color="auto" w:fill="FFFFFF"/>
        </w:rPr>
        <w:t>market rate and will have a component of residential and commercial space</w:t>
      </w:r>
      <w:r w:rsidRPr="00A45C34">
        <w:rPr>
          <w:color w:val="000000" w:themeColor="text1"/>
          <w:sz w:val="22"/>
          <w:shd w:val="clear" w:color="auto" w:fill="FFFFFF"/>
        </w:rPr>
        <w:t xml:space="preserve">.  </w:t>
      </w:r>
      <w:r w:rsidR="004E09E4" w:rsidRPr="00A45C34">
        <w:rPr>
          <w:color w:val="000000" w:themeColor="text1"/>
          <w:sz w:val="22"/>
          <w:shd w:val="clear" w:color="auto" w:fill="FFFFFF"/>
        </w:rPr>
        <w:t>Master d</w:t>
      </w:r>
      <w:r w:rsidR="00B56D42" w:rsidRPr="00A45C34">
        <w:rPr>
          <w:color w:val="000000" w:themeColor="text1"/>
          <w:sz w:val="22"/>
          <w:shd w:val="clear" w:color="auto" w:fill="FFFFFF"/>
        </w:rPr>
        <w:t>evelopment agreement completed.</w:t>
      </w:r>
    </w:p>
    <w:p w:rsidR="002E5EF5" w:rsidRPr="00A45C34" w:rsidRDefault="002E5EF5" w:rsidP="00794DA1">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The grand opening of the park is scheduled </w:t>
      </w:r>
      <w:r w:rsidR="00B56D42" w:rsidRPr="00A45C34">
        <w:rPr>
          <w:color w:val="000000" w:themeColor="text1"/>
          <w:sz w:val="22"/>
          <w:shd w:val="clear" w:color="auto" w:fill="FFFFFF"/>
        </w:rPr>
        <w:t>for September 9</w:t>
      </w:r>
      <w:r w:rsidR="00794DA1" w:rsidRPr="00A45C34">
        <w:rPr>
          <w:color w:val="000000" w:themeColor="text1"/>
          <w:sz w:val="22"/>
          <w:shd w:val="clear" w:color="auto" w:fill="FFFFFF"/>
        </w:rPr>
        <w:t>,</w:t>
      </w:r>
      <w:r w:rsidRPr="00A45C34">
        <w:rPr>
          <w:color w:val="000000" w:themeColor="text1"/>
          <w:sz w:val="22"/>
          <w:shd w:val="clear" w:color="auto" w:fill="FFFFFF"/>
        </w:rPr>
        <w:t xml:space="preserve"> 2016.</w:t>
      </w:r>
      <w:r w:rsidR="00794DA1" w:rsidRPr="00A45C34">
        <w:rPr>
          <w:color w:val="000000" w:themeColor="text1"/>
          <w:sz w:val="22"/>
          <w:shd w:val="clear" w:color="auto" w:fill="FFFFFF"/>
        </w:rPr>
        <w:t xml:space="preserve"> </w:t>
      </w:r>
      <w:r w:rsidRPr="00A45C34">
        <w:rPr>
          <w:color w:val="000000" w:themeColor="text1"/>
          <w:sz w:val="22"/>
          <w:shd w:val="clear" w:color="auto" w:fill="FFFFFF"/>
        </w:rPr>
        <w:t xml:space="preserve">  </w:t>
      </w:r>
    </w:p>
    <w:p w:rsidR="00B868EE" w:rsidRPr="00A45C34" w:rsidRDefault="004E09E4" w:rsidP="00794DA1">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City held name the park contest.  </w:t>
      </w:r>
      <w:r w:rsidR="00794DA1" w:rsidRPr="00A45C34">
        <w:rPr>
          <w:color w:val="000000" w:themeColor="text1"/>
          <w:sz w:val="22"/>
          <w:shd w:val="clear" w:color="auto" w:fill="FFFFFF"/>
        </w:rPr>
        <w:t xml:space="preserve">The top 10 names </w:t>
      </w:r>
      <w:r w:rsidRPr="00A45C34">
        <w:rPr>
          <w:color w:val="000000" w:themeColor="text1"/>
          <w:sz w:val="22"/>
          <w:shd w:val="clear" w:color="auto" w:fill="FFFFFF"/>
        </w:rPr>
        <w:t xml:space="preserve">recommended to Council for consideration.  Council vote to name the park </w:t>
      </w:r>
      <w:r w:rsidR="00B56D42" w:rsidRPr="00A45C34">
        <w:rPr>
          <w:color w:val="4F6228" w:themeColor="accent3" w:themeShade="80"/>
          <w:sz w:val="22"/>
          <w:shd w:val="clear" w:color="auto" w:fill="FFFFFF"/>
        </w:rPr>
        <w:t>The Meriden Green</w:t>
      </w:r>
      <w:r w:rsidRPr="00A45C34">
        <w:rPr>
          <w:color w:val="000000" w:themeColor="text1"/>
          <w:sz w:val="22"/>
          <w:shd w:val="clear" w:color="auto" w:fill="FFFFFF"/>
        </w:rPr>
        <w:t xml:space="preserve">.  </w:t>
      </w:r>
      <w:r w:rsidR="00B868EE" w:rsidRPr="00A45C34">
        <w:rPr>
          <w:color w:val="000000" w:themeColor="text1"/>
          <w:sz w:val="22"/>
          <w:shd w:val="clear" w:color="auto" w:fill="FFFFFF"/>
        </w:rPr>
        <w:t>.</w:t>
      </w:r>
    </w:p>
    <w:p w:rsidR="00B868EE" w:rsidRPr="00A45C34" w:rsidRDefault="00B868EE" w:rsidP="00B868EE">
      <w:pPr>
        <w:spacing w:after="0" w:line="240" w:lineRule="auto"/>
        <w:rPr>
          <w:color w:val="000000" w:themeColor="text1"/>
          <w:sz w:val="22"/>
          <w:shd w:val="clear" w:color="auto" w:fill="FFFFFF"/>
        </w:rPr>
      </w:pPr>
    </w:p>
    <w:p w:rsidR="00B868EE" w:rsidRPr="00A45C34" w:rsidRDefault="00B868EE" w:rsidP="00B868EE">
      <w:pPr>
        <w:spacing w:after="0" w:line="240" w:lineRule="auto"/>
        <w:rPr>
          <w:sz w:val="22"/>
        </w:rPr>
      </w:pPr>
      <w:r w:rsidRPr="00A45C34">
        <w:rPr>
          <w:sz w:val="22"/>
        </w:rPr>
        <w:t xml:space="preserve">Following the meeting, several residents in attendance asked questions regarding the specific development projects, total number of housing units and the condition of the Mills public housing units and parking issues in downtown.  Residents are encouraged to visit meriden2020.com to review information on the specific development sites and bring forward specific questions on environmental or related issues through the Blight &amp; Brownfield committee.  Staff will ensure that the Blight and Brownfield Committee meeting notes are posted at the City Clerk’s office and on the cityofmeriden.gov website.  </w:t>
      </w:r>
    </w:p>
    <w:p w:rsidR="00794DA1" w:rsidRPr="00A45C34" w:rsidRDefault="00794DA1" w:rsidP="00B868EE">
      <w:pPr>
        <w:spacing w:after="0" w:line="240" w:lineRule="auto"/>
        <w:rPr>
          <w:color w:val="000000" w:themeColor="text1"/>
          <w:sz w:val="22"/>
          <w:shd w:val="clear" w:color="auto" w:fill="FFFFFF"/>
        </w:rPr>
      </w:pPr>
      <w:r w:rsidRPr="00A45C34">
        <w:rPr>
          <w:color w:val="000000" w:themeColor="text1"/>
          <w:sz w:val="22"/>
          <w:shd w:val="clear" w:color="auto" w:fill="FFFFFF"/>
        </w:rPr>
        <w:t xml:space="preserve"> </w:t>
      </w:r>
    </w:p>
    <w:p w:rsidR="00186D18" w:rsidRPr="00A45C34" w:rsidRDefault="00186D18" w:rsidP="00794DA1">
      <w:pPr>
        <w:pStyle w:val="ListParagraph"/>
        <w:spacing w:after="0" w:line="240" w:lineRule="auto"/>
        <w:ind w:left="1080"/>
        <w:rPr>
          <w:color w:val="000000" w:themeColor="text1"/>
          <w:sz w:val="22"/>
          <w:shd w:val="clear" w:color="auto" w:fill="FFFFFF"/>
        </w:rPr>
      </w:pPr>
    </w:p>
    <w:p w:rsidR="004E6238" w:rsidRPr="00A45C34" w:rsidRDefault="004E6238" w:rsidP="008800F9">
      <w:pPr>
        <w:pStyle w:val="ListParagraph"/>
        <w:numPr>
          <w:ilvl w:val="0"/>
          <w:numId w:val="31"/>
        </w:numPr>
        <w:spacing w:after="0" w:line="240" w:lineRule="auto"/>
        <w:rPr>
          <w:sz w:val="22"/>
        </w:rPr>
      </w:pPr>
      <w:r w:rsidRPr="00A45C34">
        <w:rPr>
          <w:sz w:val="22"/>
        </w:rPr>
        <w:t>177 State Street Cleanup &amp; Redevelopment Project, AECom</w:t>
      </w:r>
    </w:p>
    <w:p w:rsidR="008C638A" w:rsidRPr="00A45C34" w:rsidRDefault="004E6238" w:rsidP="008C638A">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$597,000 DECD grant has been secured to finalize the remedial action plan </w:t>
      </w:r>
      <w:r w:rsidR="004E09E4" w:rsidRPr="00A45C34">
        <w:rPr>
          <w:color w:val="000000" w:themeColor="text1"/>
          <w:sz w:val="22"/>
          <w:shd w:val="clear" w:color="auto" w:fill="FFFFFF"/>
        </w:rPr>
        <w:t xml:space="preserve">(RAP) </w:t>
      </w:r>
      <w:r w:rsidRPr="00A45C34">
        <w:rPr>
          <w:color w:val="000000" w:themeColor="text1"/>
          <w:sz w:val="22"/>
          <w:shd w:val="clear" w:color="auto" w:fill="FFFFFF"/>
        </w:rPr>
        <w:t>and cleanup of 177 State Street.  AECOM has been selected to be the LEP for 177 State Street.</w:t>
      </w:r>
      <w:r w:rsidR="00646B7E" w:rsidRPr="00A45C34">
        <w:rPr>
          <w:color w:val="000000" w:themeColor="text1"/>
          <w:sz w:val="22"/>
          <w:shd w:val="clear" w:color="auto" w:fill="FFFFFF"/>
        </w:rPr>
        <w:t xml:space="preserve">  </w:t>
      </w:r>
      <w:r w:rsidR="00A45C34" w:rsidRPr="00A45C34">
        <w:rPr>
          <w:color w:val="000000" w:themeColor="text1"/>
          <w:sz w:val="22"/>
          <w:shd w:val="clear" w:color="auto" w:fill="FFFFFF"/>
        </w:rPr>
        <w:t>AECOM is i</w:t>
      </w:r>
      <w:r w:rsidR="004E09E4" w:rsidRPr="00A45C34">
        <w:rPr>
          <w:color w:val="000000" w:themeColor="text1"/>
          <w:sz w:val="22"/>
          <w:shd w:val="clear" w:color="auto" w:fill="FFFFFF"/>
        </w:rPr>
        <w:t xml:space="preserve">n process of completing bid specifications for cleanup.  Contractor bid for site cleanup expected to be released late </w:t>
      </w:r>
      <w:r w:rsidR="00864CAC" w:rsidRPr="00A45C34">
        <w:rPr>
          <w:color w:val="000000" w:themeColor="text1"/>
          <w:sz w:val="22"/>
          <w:shd w:val="clear" w:color="auto" w:fill="FFFFFF"/>
        </w:rPr>
        <w:t>2016.</w:t>
      </w:r>
    </w:p>
    <w:p w:rsidR="008C638A" w:rsidRPr="00A45C34" w:rsidRDefault="004E09E4" w:rsidP="008C638A">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 xml:space="preserve">Following cleanup, city will transfer property to MHA for the purposes of redevelopment.  </w:t>
      </w:r>
      <w:r w:rsidR="00646B7E" w:rsidRPr="00A45C34">
        <w:rPr>
          <w:color w:val="000000" w:themeColor="text1"/>
          <w:sz w:val="22"/>
          <w:shd w:val="clear" w:color="auto" w:fill="FFFFFF"/>
        </w:rPr>
        <w:t xml:space="preserve">Pennrose </w:t>
      </w:r>
      <w:r w:rsidR="008C638A" w:rsidRPr="00A45C34">
        <w:rPr>
          <w:color w:val="000000" w:themeColor="text1"/>
          <w:sz w:val="22"/>
          <w:shd w:val="clear" w:color="auto" w:fill="FFFFFF"/>
        </w:rPr>
        <w:t xml:space="preserve">was selected as the developer for this site and has </w:t>
      </w:r>
      <w:r w:rsidR="00646B7E" w:rsidRPr="00A45C34">
        <w:rPr>
          <w:color w:val="000000" w:themeColor="text1"/>
          <w:sz w:val="22"/>
          <w:shd w:val="clear" w:color="auto" w:fill="FFFFFF"/>
        </w:rPr>
        <w:t xml:space="preserve">completed 40% design plans for a 75 unit mixed use development </w:t>
      </w:r>
      <w:r w:rsidR="00387E19" w:rsidRPr="00A45C34">
        <w:rPr>
          <w:color w:val="000000" w:themeColor="text1"/>
          <w:sz w:val="22"/>
          <w:shd w:val="clear" w:color="auto" w:fill="FFFFFF"/>
        </w:rPr>
        <w:t xml:space="preserve">including 23 Mills replacement </w:t>
      </w:r>
      <w:r w:rsidR="00646B7E" w:rsidRPr="00A45C34">
        <w:rPr>
          <w:color w:val="000000" w:themeColor="text1"/>
          <w:sz w:val="22"/>
          <w:shd w:val="clear" w:color="auto" w:fill="FFFFFF"/>
        </w:rPr>
        <w:t>a</w:t>
      </w:r>
      <w:r w:rsidRPr="00A45C34">
        <w:rPr>
          <w:color w:val="000000" w:themeColor="text1"/>
          <w:sz w:val="22"/>
          <w:shd w:val="clear" w:color="auto" w:fill="FFFFFF"/>
        </w:rPr>
        <w:t xml:space="preserve">t 161-177 State Street in cooperation with Meriden Housing Authority.  </w:t>
      </w:r>
    </w:p>
    <w:p w:rsidR="00387E19" w:rsidRPr="00A45C34" w:rsidRDefault="00387E19" w:rsidP="008C638A">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LIHTC funding approved 2016.</w:t>
      </w:r>
    </w:p>
    <w:p w:rsidR="00864CAC" w:rsidRPr="00A45C34" w:rsidRDefault="00864CAC" w:rsidP="008C638A">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t>Tenants are in the process of being relocated and this is being handled by MHA.</w:t>
      </w:r>
    </w:p>
    <w:p w:rsidR="00864CAC" w:rsidRPr="00A45C34" w:rsidRDefault="00864CAC" w:rsidP="00864CAC">
      <w:pPr>
        <w:pStyle w:val="ListParagraph"/>
        <w:numPr>
          <w:ilvl w:val="0"/>
          <w:numId w:val="4"/>
        </w:numPr>
        <w:spacing w:after="0" w:line="240" w:lineRule="auto"/>
        <w:ind w:left="1080"/>
        <w:rPr>
          <w:color w:val="000000" w:themeColor="text1"/>
          <w:sz w:val="22"/>
          <w:shd w:val="clear" w:color="auto" w:fill="FFFFFF"/>
        </w:rPr>
      </w:pPr>
      <w:r w:rsidRPr="00A45C34">
        <w:rPr>
          <w:color w:val="000000" w:themeColor="text1"/>
          <w:sz w:val="22"/>
          <w:shd w:val="clear" w:color="auto" w:fill="FFFFFF"/>
        </w:rPr>
        <w:lastRenderedPageBreak/>
        <w:t>Bob Bass reported with the Mills down, an additional 1.5 acres of green space to help continue the flood control that the City has been working on.</w:t>
      </w:r>
    </w:p>
    <w:p w:rsidR="00893033" w:rsidRPr="00A45C34" w:rsidRDefault="00893033" w:rsidP="008C638A">
      <w:pPr>
        <w:pStyle w:val="ListParagraph"/>
        <w:spacing w:after="0" w:line="240" w:lineRule="auto"/>
        <w:ind w:left="1080"/>
        <w:rPr>
          <w:color w:val="000000" w:themeColor="text1"/>
          <w:sz w:val="22"/>
          <w:shd w:val="clear" w:color="auto" w:fill="FFFFFF"/>
        </w:rPr>
      </w:pPr>
    </w:p>
    <w:p w:rsidR="008800F9" w:rsidRPr="00A45C34" w:rsidRDefault="00AB6E94" w:rsidP="00BE5C25">
      <w:pPr>
        <w:pStyle w:val="ListParagraph"/>
        <w:numPr>
          <w:ilvl w:val="0"/>
          <w:numId w:val="31"/>
        </w:numPr>
        <w:spacing w:after="0" w:line="240" w:lineRule="auto"/>
        <w:rPr>
          <w:color w:val="000000" w:themeColor="text1"/>
          <w:sz w:val="22"/>
          <w:shd w:val="clear" w:color="auto" w:fill="FFFFFF"/>
        </w:rPr>
      </w:pPr>
      <w:r w:rsidRPr="00A45C34">
        <w:rPr>
          <w:sz w:val="22"/>
        </w:rPr>
        <w:t xml:space="preserve">144 Mills Memorial. </w:t>
      </w:r>
      <w:r w:rsidR="004E09E4" w:rsidRPr="00A45C34">
        <w:rPr>
          <w:sz w:val="22"/>
        </w:rPr>
        <w:t xml:space="preserve">City has been awarded $2 million to demolish and remediate the Mills public housing sites.  MHA is moving forward with relocation of all Mills residents.  Two of the five structures are currently vacant and the residents have been relocated.  The completion of </w:t>
      </w:r>
      <w:r w:rsidR="00BE5C25" w:rsidRPr="00A45C34">
        <w:rPr>
          <w:sz w:val="22"/>
        </w:rPr>
        <w:t xml:space="preserve">the following </w:t>
      </w:r>
      <w:r w:rsidR="004E09E4" w:rsidRPr="00A45C34">
        <w:rPr>
          <w:sz w:val="22"/>
        </w:rPr>
        <w:t>environmental reports allowed the city to apply for a demo and re</w:t>
      </w:r>
      <w:r w:rsidR="00BE5C25" w:rsidRPr="00A45C34">
        <w:rPr>
          <w:sz w:val="22"/>
        </w:rPr>
        <w:t xml:space="preserve">mediation grant to the CT DECD: </w:t>
      </w:r>
    </w:p>
    <w:p w:rsidR="00BE5C25" w:rsidRPr="00A45C34" w:rsidRDefault="00BE5C25" w:rsidP="00BE5C25">
      <w:pPr>
        <w:spacing w:after="0" w:line="240" w:lineRule="auto"/>
        <w:ind w:left="360"/>
        <w:rPr>
          <w:color w:val="000000" w:themeColor="text1"/>
          <w:sz w:val="22"/>
          <w:shd w:val="clear" w:color="auto" w:fill="FFFFFF"/>
        </w:rPr>
      </w:pPr>
    </w:p>
    <w:p w:rsidR="00BE5C25" w:rsidRPr="00A45C34" w:rsidRDefault="00BE5C25" w:rsidP="00BE5C25">
      <w:pPr>
        <w:spacing w:after="0" w:line="240" w:lineRule="auto"/>
        <w:ind w:left="360"/>
        <w:rPr>
          <w:color w:val="000000" w:themeColor="text1"/>
          <w:sz w:val="22"/>
          <w:shd w:val="clear" w:color="auto" w:fill="FFFFFF"/>
        </w:rPr>
      </w:pPr>
    </w:p>
    <w:tbl>
      <w:tblPr>
        <w:tblStyle w:val="TableGrid"/>
        <w:tblW w:w="0" w:type="auto"/>
        <w:tblLook w:val="0420"/>
      </w:tblPr>
      <w:tblGrid>
        <w:gridCol w:w="1665"/>
        <w:gridCol w:w="1808"/>
        <w:gridCol w:w="1743"/>
        <w:gridCol w:w="1781"/>
        <w:gridCol w:w="2579"/>
      </w:tblGrid>
      <w:tr w:rsidR="00BE5C25" w:rsidRPr="00A45C34" w:rsidTr="00BE5C25">
        <w:trPr>
          <w:trHeight w:val="448"/>
        </w:trPr>
        <w:tc>
          <w:tcPr>
            <w:tcW w:w="0" w:type="auto"/>
            <w:hideMark/>
          </w:tcPr>
          <w:p w:rsidR="00BE5C25" w:rsidRPr="00A45C34" w:rsidRDefault="00BE5C25" w:rsidP="00BE5C25">
            <w:pPr>
              <w:rPr>
                <w:rFonts w:eastAsia="Times New Roman"/>
                <w:color w:val="000000" w:themeColor="text1"/>
              </w:rPr>
            </w:pPr>
          </w:p>
        </w:tc>
        <w:tc>
          <w:tcPr>
            <w:tcW w:w="1808" w:type="dxa"/>
            <w:hideMark/>
          </w:tcPr>
          <w:p w:rsidR="00BE5C25" w:rsidRPr="00A45C34" w:rsidRDefault="00BE5C25" w:rsidP="00BE5C25">
            <w:pPr>
              <w:jc w:val="center"/>
              <w:rPr>
                <w:rFonts w:eastAsia="Times New Roman"/>
                <w:color w:val="000000" w:themeColor="text1"/>
              </w:rPr>
            </w:pPr>
            <w:r w:rsidRPr="00A45C34">
              <w:rPr>
                <w:rFonts w:eastAsia="Times New Roman"/>
                <w:b/>
                <w:bCs/>
                <w:color w:val="000000" w:themeColor="text1"/>
                <w:kern w:val="24"/>
              </w:rPr>
              <w:t>177 State St.</w:t>
            </w:r>
          </w:p>
        </w:tc>
        <w:tc>
          <w:tcPr>
            <w:tcW w:w="1743" w:type="dxa"/>
            <w:hideMark/>
          </w:tcPr>
          <w:p w:rsidR="00BE5C25" w:rsidRPr="00A45C34" w:rsidRDefault="00BE5C25" w:rsidP="00BE5C25">
            <w:pPr>
              <w:jc w:val="center"/>
              <w:rPr>
                <w:rFonts w:eastAsia="Times New Roman"/>
                <w:color w:val="000000" w:themeColor="text1"/>
              </w:rPr>
            </w:pPr>
            <w:r w:rsidRPr="00A45C34">
              <w:rPr>
                <w:rFonts w:eastAsia="Times New Roman"/>
                <w:b/>
                <w:bCs/>
                <w:color w:val="000000" w:themeColor="text1"/>
                <w:kern w:val="24"/>
              </w:rPr>
              <w:t>161 State St.</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b/>
                <w:bCs/>
                <w:color w:val="000000" w:themeColor="text1"/>
                <w:kern w:val="24"/>
              </w:rPr>
              <w:t>62 Cedar St.</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b/>
                <w:bCs/>
                <w:color w:val="000000" w:themeColor="text1"/>
                <w:kern w:val="24"/>
              </w:rPr>
              <w:t>144 Mills Memorial</w:t>
            </w:r>
          </w:p>
        </w:tc>
      </w:tr>
      <w:tr w:rsidR="00BE5C25" w:rsidRPr="00A45C34" w:rsidTr="00BE5C25">
        <w:trPr>
          <w:trHeight w:val="602"/>
        </w:trPr>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Phase I Assessment</w:t>
            </w:r>
          </w:p>
        </w:tc>
        <w:tc>
          <w:tcPr>
            <w:tcW w:w="1808"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AECOM</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Completed 10/2015</w:t>
            </w:r>
          </w:p>
        </w:tc>
        <w:tc>
          <w:tcPr>
            <w:tcW w:w="1743"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AECOM</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COMPLETED (2015)</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AECOM</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COMPLETED (2015)</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AECOM</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COMPLETED (2015)</w:t>
            </w:r>
          </w:p>
        </w:tc>
      </w:tr>
      <w:tr w:rsidR="00BE5C25" w:rsidRPr="00A45C34" w:rsidTr="00BE5C25">
        <w:trPr>
          <w:trHeight w:val="638"/>
        </w:trPr>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Phase II/III Assessment</w:t>
            </w:r>
          </w:p>
        </w:tc>
        <w:tc>
          <w:tcPr>
            <w:tcW w:w="1808"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AECom</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Completed 2014</w:t>
            </w:r>
          </w:p>
        </w:tc>
        <w:tc>
          <w:tcPr>
            <w:tcW w:w="1743"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DRAFT COMPLETED</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(2015)</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DRAFT COMPLETED</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(2015)</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 xml:space="preserve">DRAFT COMPLETED </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(2015)</w:t>
            </w:r>
          </w:p>
        </w:tc>
      </w:tr>
      <w:tr w:rsidR="00BE5C25" w:rsidRPr="00A45C34" w:rsidTr="00BE5C25">
        <w:trPr>
          <w:trHeight w:val="512"/>
        </w:trPr>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Remedial Action Plan</w:t>
            </w:r>
          </w:p>
        </w:tc>
        <w:tc>
          <w:tcPr>
            <w:tcW w:w="1808"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AECom</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Completed 2014</w:t>
            </w:r>
          </w:p>
        </w:tc>
        <w:tc>
          <w:tcPr>
            <w:tcW w:w="1743" w:type="dxa"/>
            <w:hideMark/>
          </w:tcPr>
          <w:p w:rsidR="00BE5C25" w:rsidRPr="00A45C34" w:rsidRDefault="00BE5C25" w:rsidP="00BE5C25">
            <w:pPr>
              <w:jc w:val="center"/>
              <w:rPr>
                <w:rFonts w:eastAsia="Times New Roman"/>
                <w:color w:val="000000" w:themeColor="text1"/>
                <w:kern w:val="24"/>
              </w:rPr>
            </w:pPr>
            <w:r w:rsidRPr="00A45C34">
              <w:rPr>
                <w:rFonts w:eastAsia="Times New Roman"/>
                <w:color w:val="000000" w:themeColor="text1"/>
                <w:kern w:val="24"/>
              </w:rPr>
              <w:t xml:space="preserve">IN PROGRESS </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(2016)</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To be completed 2016</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To be completed 2016</w:t>
            </w:r>
          </w:p>
        </w:tc>
      </w:tr>
      <w:tr w:rsidR="00BE5C25" w:rsidRPr="00A45C34" w:rsidTr="00BE5C25">
        <w:trPr>
          <w:trHeight w:val="548"/>
        </w:trPr>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Haz Mat Building Survey</w:t>
            </w:r>
          </w:p>
        </w:tc>
        <w:tc>
          <w:tcPr>
            <w:tcW w:w="1808"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NA-Vacant</w:t>
            </w:r>
          </w:p>
        </w:tc>
        <w:tc>
          <w:tcPr>
            <w:tcW w:w="1743"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NA-Vacant</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NA-Vacant</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COMPLETED (2015)</w:t>
            </w:r>
          </w:p>
        </w:tc>
      </w:tr>
      <w:tr w:rsidR="00BE5C25" w:rsidRPr="00A45C34" w:rsidTr="00BE5C25">
        <w:trPr>
          <w:trHeight w:val="692"/>
        </w:trPr>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Reuse Planning</w:t>
            </w:r>
          </w:p>
        </w:tc>
        <w:tc>
          <w:tcPr>
            <w:tcW w:w="1808"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Completed</w:t>
            </w:r>
          </w:p>
        </w:tc>
        <w:tc>
          <w:tcPr>
            <w:tcW w:w="1743"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Completed</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Pennrose -future phase</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 xml:space="preserve">Implementation of </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Harbor Brook Flood Control Project, Daylight Harbor Brook</w:t>
            </w:r>
          </w:p>
        </w:tc>
      </w:tr>
      <w:tr w:rsidR="00BE5C25" w:rsidRPr="00A45C34" w:rsidTr="00BE5C25">
        <w:trPr>
          <w:trHeight w:val="845"/>
        </w:trPr>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Remediation/</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Cleanup</w:t>
            </w:r>
          </w:p>
        </w:tc>
        <w:tc>
          <w:tcPr>
            <w:tcW w:w="1808"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 xml:space="preserve">$597,000-DECD </w:t>
            </w:r>
          </w:p>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Cleanup IN PROGRESS</w:t>
            </w:r>
          </w:p>
        </w:tc>
        <w:tc>
          <w:tcPr>
            <w:tcW w:w="1743"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TBD</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TBD</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$2 million DECD grant awarded Feb 2016</w:t>
            </w:r>
          </w:p>
        </w:tc>
      </w:tr>
      <w:tr w:rsidR="00BE5C25" w:rsidRPr="00A45C34" w:rsidTr="00BE5C25">
        <w:trPr>
          <w:trHeight w:val="845"/>
        </w:trPr>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Developer</w:t>
            </w:r>
          </w:p>
        </w:tc>
        <w:tc>
          <w:tcPr>
            <w:tcW w:w="1808"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Pennrose 75 Unit Development</w:t>
            </w:r>
          </w:p>
        </w:tc>
        <w:tc>
          <w:tcPr>
            <w:tcW w:w="1743" w:type="dxa"/>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 xml:space="preserve">MHA/Pennrose </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MHA Pennrose Properties</w:t>
            </w:r>
          </w:p>
        </w:tc>
        <w:tc>
          <w:tcPr>
            <w:tcW w:w="0" w:type="auto"/>
            <w:hideMark/>
          </w:tcPr>
          <w:p w:rsidR="00BE5C25" w:rsidRPr="00A45C34" w:rsidRDefault="00BE5C25" w:rsidP="00BE5C25">
            <w:pPr>
              <w:jc w:val="center"/>
              <w:rPr>
                <w:rFonts w:eastAsia="Times New Roman"/>
                <w:color w:val="000000" w:themeColor="text1"/>
              </w:rPr>
            </w:pPr>
            <w:r w:rsidRPr="00A45C34">
              <w:rPr>
                <w:rFonts w:eastAsia="Times New Roman"/>
                <w:color w:val="000000" w:themeColor="text1"/>
                <w:kern w:val="24"/>
              </w:rPr>
              <w:t>City/Flood Control</w:t>
            </w:r>
          </w:p>
        </w:tc>
      </w:tr>
    </w:tbl>
    <w:p w:rsidR="00BE5C25" w:rsidRPr="00A45C34" w:rsidRDefault="00BE5C25" w:rsidP="00BE5C25">
      <w:pPr>
        <w:spacing w:after="0" w:line="240" w:lineRule="auto"/>
        <w:rPr>
          <w:color w:val="000000" w:themeColor="text1"/>
          <w:sz w:val="22"/>
          <w:shd w:val="clear" w:color="auto" w:fill="FFFFFF"/>
        </w:rPr>
      </w:pPr>
    </w:p>
    <w:p w:rsidR="00CA69B2" w:rsidRPr="00A45C34" w:rsidRDefault="00893033" w:rsidP="008800F9">
      <w:pPr>
        <w:pStyle w:val="ListParagraph"/>
        <w:numPr>
          <w:ilvl w:val="0"/>
          <w:numId w:val="31"/>
        </w:numPr>
        <w:spacing w:after="0" w:line="240" w:lineRule="auto"/>
        <w:rPr>
          <w:sz w:val="22"/>
        </w:rPr>
      </w:pPr>
      <w:r w:rsidRPr="00A45C34">
        <w:rPr>
          <w:sz w:val="22"/>
        </w:rPr>
        <w:t>1 King Place Assessment (and pre-assessment cleanup)</w:t>
      </w:r>
      <w:r w:rsidR="00CA69B2" w:rsidRPr="00A45C34">
        <w:rPr>
          <w:sz w:val="22"/>
        </w:rPr>
        <w:t>-</w:t>
      </w:r>
      <w:r w:rsidRPr="00A45C34">
        <w:rPr>
          <w:sz w:val="22"/>
        </w:rPr>
        <w:t xml:space="preserve">former Meriden Wallingford Hospital </w:t>
      </w:r>
    </w:p>
    <w:p w:rsidR="00CA69B2" w:rsidRPr="00A45C34" w:rsidRDefault="00CA69B2" w:rsidP="00CA69B2">
      <w:pPr>
        <w:pStyle w:val="ListParagraph"/>
        <w:spacing w:after="0" w:line="240" w:lineRule="auto"/>
        <w:rPr>
          <w:sz w:val="22"/>
        </w:rPr>
      </w:pPr>
    </w:p>
    <w:p w:rsidR="003547BA" w:rsidRPr="00A45C34" w:rsidRDefault="00CA69B2" w:rsidP="00CA3CDD">
      <w:pPr>
        <w:pStyle w:val="ListParagraph"/>
        <w:spacing w:after="0" w:line="240" w:lineRule="auto"/>
        <w:rPr>
          <w:color w:val="000000" w:themeColor="text1"/>
          <w:sz w:val="22"/>
          <w:shd w:val="clear" w:color="auto" w:fill="FFFFFF"/>
        </w:rPr>
      </w:pPr>
      <w:r w:rsidRPr="00A45C34">
        <w:rPr>
          <w:bCs/>
          <w:sz w:val="22"/>
        </w:rPr>
        <w:t xml:space="preserve">City </w:t>
      </w:r>
      <w:r w:rsidR="00CA3CDD" w:rsidRPr="00A45C34">
        <w:rPr>
          <w:bCs/>
          <w:sz w:val="22"/>
        </w:rPr>
        <w:t xml:space="preserve">was </w:t>
      </w:r>
      <w:r w:rsidRPr="00A45C34">
        <w:rPr>
          <w:bCs/>
          <w:sz w:val="22"/>
        </w:rPr>
        <w:t xml:space="preserve">awarded $180,000 in DECD funds for environmental site assessments and $221,000 loan for interim cleanup. </w:t>
      </w:r>
      <w:r w:rsidR="00CA3CDD" w:rsidRPr="00A45C34">
        <w:rPr>
          <w:sz w:val="22"/>
        </w:rPr>
        <w:t xml:space="preserve">Approximately $180,000 in asbestos cleanup was recently completed by AAIS.  </w:t>
      </w:r>
      <w:r w:rsidRPr="00A45C34">
        <w:rPr>
          <w:sz w:val="22"/>
        </w:rPr>
        <w:t xml:space="preserve"> </w:t>
      </w:r>
      <w:r w:rsidR="00CA3CDD" w:rsidRPr="00A45C34">
        <w:rPr>
          <w:sz w:val="22"/>
        </w:rPr>
        <w:t xml:space="preserve">True Blue Environmental has also been hired to complete removal of 7 drums containing chemicals.  Interim cleanup work will be completed in April.  Fuss &amp; </w:t>
      </w:r>
      <w:r w:rsidR="001E6147" w:rsidRPr="00A45C34">
        <w:rPr>
          <w:sz w:val="22"/>
        </w:rPr>
        <w:t>O’Neill</w:t>
      </w:r>
      <w:r w:rsidR="00CA3CDD" w:rsidRPr="00A45C34">
        <w:rPr>
          <w:sz w:val="22"/>
        </w:rPr>
        <w:t xml:space="preserve"> </w:t>
      </w:r>
      <w:r w:rsidR="00B868EE" w:rsidRPr="00A45C34">
        <w:rPr>
          <w:sz w:val="22"/>
        </w:rPr>
        <w:t xml:space="preserve">has completed </w:t>
      </w:r>
      <w:r w:rsidR="00CA3CDD" w:rsidRPr="00A45C34">
        <w:rPr>
          <w:sz w:val="22"/>
        </w:rPr>
        <w:t>Phase II/III environmental assessment and hazard</w:t>
      </w:r>
      <w:r w:rsidR="00B868EE" w:rsidRPr="00A45C34">
        <w:rPr>
          <w:sz w:val="22"/>
        </w:rPr>
        <w:t>ous building materials survey.</w:t>
      </w:r>
      <w:r w:rsidR="00CA3CDD" w:rsidRPr="00A45C34">
        <w:rPr>
          <w:sz w:val="22"/>
        </w:rPr>
        <w:t xml:space="preserve"> </w:t>
      </w:r>
      <w:r w:rsidR="00B868EE" w:rsidRPr="00A45C34">
        <w:rPr>
          <w:sz w:val="22"/>
        </w:rPr>
        <w:t xml:space="preserve"> Structural evaluation of the building and parking garage also completed.</w:t>
      </w:r>
      <w:r w:rsidR="00CA3CDD" w:rsidRPr="00A45C34">
        <w:rPr>
          <w:sz w:val="22"/>
        </w:rPr>
        <w:t xml:space="preserve"> </w:t>
      </w:r>
      <w:r w:rsidR="003547BA" w:rsidRPr="00A45C34">
        <w:rPr>
          <w:color w:val="000000" w:themeColor="text1"/>
          <w:sz w:val="22"/>
          <w:shd w:val="clear" w:color="auto" w:fill="FFFFFF"/>
        </w:rPr>
        <w:t>Remediation p</w:t>
      </w:r>
      <w:r w:rsidR="00CA3CDD" w:rsidRPr="00A45C34">
        <w:rPr>
          <w:color w:val="000000" w:themeColor="text1"/>
          <w:sz w:val="22"/>
          <w:shd w:val="clear" w:color="auto" w:fill="FFFFFF"/>
        </w:rPr>
        <w:t xml:space="preserve">lan will follow to address identified hazards.  </w:t>
      </w:r>
    </w:p>
    <w:p w:rsidR="00B868EE" w:rsidRPr="00A45C34" w:rsidRDefault="00B868EE" w:rsidP="00B868EE">
      <w:pPr>
        <w:pStyle w:val="ListParagraph"/>
        <w:numPr>
          <w:ilvl w:val="0"/>
          <w:numId w:val="33"/>
        </w:numPr>
        <w:spacing w:after="0" w:line="240" w:lineRule="auto"/>
        <w:rPr>
          <w:sz w:val="22"/>
        </w:rPr>
      </w:pPr>
      <w:r w:rsidRPr="00A45C34">
        <w:rPr>
          <w:sz w:val="22"/>
        </w:rPr>
        <w:t>City is considering applying for an EPA grant for cleanup activities.</w:t>
      </w:r>
    </w:p>
    <w:p w:rsidR="00B868EE" w:rsidRPr="00A45C34" w:rsidRDefault="00B868EE" w:rsidP="00B868EE">
      <w:pPr>
        <w:pStyle w:val="ListParagraph"/>
        <w:numPr>
          <w:ilvl w:val="0"/>
          <w:numId w:val="33"/>
        </w:numPr>
        <w:spacing w:after="0" w:line="240" w:lineRule="auto"/>
        <w:rPr>
          <w:sz w:val="22"/>
        </w:rPr>
      </w:pPr>
      <w:r w:rsidRPr="00A45C34">
        <w:rPr>
          <w:sz w:val="22"/>
        </w:rPr>
        <w:t xml:space="preserve">There are some developers interested on the site. An RFQ will be released early August for development proposals. </w:t>
      </w:r>
    </w:p>
    <w:p w:rsidR="00E14184" w:rsidRPr="00A45C34" w:rsidRDefault="00E14184" w:rsidP="00893033">
      <w:pPr>
        <w:spacing w:after="0" w:line="240" w:lineRule="auto"/>
        <w:rPr>
          <w:b/>
          <w:sz w:val="22"/>
        </w:rPr>
      </w:pPr>
    </w:p>
    <w:p w:rsidR="00CA3CDD" w:rsidRPr="00A45C34" w:rsidRDefault="00CA3CDD" w:rsidP="00893033">
      <w:pPr>
        <w:spacing w:after="0" w:line="240" w:lineRule="auto"/>
        <w:rPr>
          <w:sz w:val="22"/>
        </w:rPr>
      </w:pPr>
    </w:p>
    <w:p w:rsidR="00D952A1" w:rsidRPr="00A45C34" w:rsidRDefault="00D952A1" w:rsidP="008800F9">
      <w:pPr>
        <w:pStyle w:val="ListParagraph"/>
        <w:numPr>
          <w:ilvl w:val="0"/>
          <w:numId w:val="12"/>
        </w:numPr>
        <w:ind w:left="360"/>
        <w:rPr>
          <w:b/>
          <w:sz w:val="22"/>
        </w:rPr>
      </w:pPr>
      <w:r w:rsidRPr="00A45C34">
        <w:rPr>
          <w:b/>
          <w:sz w:val="22"/>
        </w:rPr>
        <w:t>Update on Blight Enforcement Activities</w:t>
      </w:r>
    </w:p>
    <w:p w:rsidR="002C6546" w:rsidRPr="00A45C34" w:rsidRDefault="002C6546" w:rsidP="0099672D">
      <w:pPr>
        <w:spacing w:after="0" w:line="240" w:lineRule="auto"/>
        <w:rPr>
          <w:b/>
          <w:sz w:val="22"/>
        </w:rPr>
      </w:pPr>
    </w:p>
    <w:p w:rsidR="00BD350C" w:rsidRPr="00A45C34" w:rsidRDefault="000B682F" w:rsidP="00F61E3F">
      <w:pPr>
        <w:spacing w:after="0" w:line="240" w:lineRule="auto"/>
        <w:rPr>
          <w:sz w:val="22"/>
        </w:rPr>
      </w:pPr>
      <w:r w:rsidRPr="00A45C34">
        <w:rPr>
          <w:sz w:val="22"/>
        </w:rPr>
        <w:lastRenderedPageBreak/>
        <w:t xml:space="preserve">Peter Miller </w:t>
      </w:r>
      <w:r w:rsidR="00B868EE" w:rsidRPr="00A45C34">
        <w:rPr>
          <w:sz w:val="22"/>
        </w:rPr>
        <w:t>reported over 145</w:t>
      </w:r>
      <w:r w:rsidR="005C55F2" w:rsidRPr="00A45C34">
        <w:rPr>
          <w:sz w:val="22"/>
        </w:rPr>
        <w:t xml:space="preserve"> blighted properties </w:t>
      </w:r>
      <w:r w:rsidR="00AD1BE7" w:rsidRPr="00A45C34">
        <w:rPr>
          <w:sz w:val="22"/>
        </w:rPr>
        <w:t>has</w:t>
      </w:r>
      <w:r w:rsidR="005C55F2" w:rsidRPr="00A45C34">
        <w:rPr>
          <w:sz w:val="22"/>
        </w:rPr>
        <w:t xml:space="preserve"> been brought into compliance since the blig</w:t>
      </w:r>
      <w:r w:rsidR="00E14184" w:rsidRPr="00A45C34">
        <w:rPr>
          <w:sz w:val="22"/>
        </w:rPr>
        <w:t>ht ordinance was adopted over 11</w:t>
      </w:r>
      <w:r w:rsidR="005C55F2" w:rsidRPr="00A45C34">
        <w:rPr>
          <w:sz w:val="22"/>
        </w:rPr>
        <w:t xml:space="preserve"> years ago.  </w:t>
      </w:r>
      <w:r w:rsidR="00CA3CDD" w:rsidRPr="00A45C34">
        <w:rPr>
          <w:sz w:val="22"/>
        </w:rPr>
        <w:t xml:space="preserve">An updated blight enforcement list was distributed and is included as an attachment to the minutes.  </w:t>
      </w:r>
      <w:r w:rsidR="005C55F2" w:rsidRPr="00A45C34">
        <w:rPr>
          <w:sz w:val="22"/>
        </w:rPr>
        <w:t xml:space="preserve">The City is </w:t>
      </w:r>
      <w:r w:rsidR="00B868EE" w:rsidRPr="00A45C34">
        <w:rPr>
          <w:sz w:val="22"/>
        </w:rPr>
        <w:t>currently tracking 18</w:t>
      </w:r>
      <w:r w:rsidRPr="00A45C34">
        <w:rPr>
          <w:sz w:val="22"/>
        </w:rPr>
        <w:t xml:space="preserve"> properties with </w:t>
      </w:r>
      <w:r w:rsidR="005C55F2" w:rsidRPr="00A45C34">
        <w:rPr>
          <w:sz w:val="22"/>
        </w:rPr>
        <w:t xml:space="preserve">blighted conditions.  </w:t>
      </w:r>
      <w:r w:rsidR="00B73564" w:rsidRPr="00A45C34">
        <w:rPr>
          <w:sz w:val="22"/>
        </w:rPr>
        <w:t>Many properties have been referred to corporation counsel for foreclosure</w:t>
      </w:r>
      <w:r w:rsidR="00162AD3" w:rsidRPr="00A45C34">
        <w:rPr>
          <w:sz w:val="22"/>
        </w:rPr>
        <w:t>.</w:t>
      </w:r>
      <w:r w:rsidR="00B73564" w:rsidRPr="00A45C34">
        <w:rPr>
          <w:sz w:val="22"/>
        </w:rPr>
        <w:t xml:space="preserve"> </w:t>
      </w:r>
      <w:r w:rsidR="00AD1BE7" w:rsidRPr="00A45C34">
        <w:rPr>
          <w:sz w:val="22"/>
        </w:rPr>
        <w:t>Legal is working with outside counsel to speed process on these blighted properties.</w:t>
      </w:r>
      <w:r w:rsidR="002C6546" w:rsidRPr="00A45C34">
        <w:rPr>
          <w:sz w:val="22"/>
        </w:rPr>
        <w:t xml:space="preserve"> </w:t>
      </w:r>
    </w:p>
    <w:p w:rsidR="002C6546" w:rsidRPr="00A45C34" w:rsidRDefault="002C6546" w:rsidP="00F61E3F">
      <w:pPr>
        <w:spacing w:after="0" w:line="240" w:lineRule="auto"/>
        <w:rPr>
          <w:sz w:val="22"/>
        </w:rPr>
      </w:pPr>
    </w:p>
    <w:p w:rsidR="0097738D" w:rsidRPr="00A45C34" w:rsidRDefault="00B868EE" w:rsidP="008800F9">
      <w:pPr>
        <w:pStyle w:val="ListParagraph"/>
        <w:numPr>
          <w:ilvl w:val="0"/>
          <w:numId w:val="12"/>
        </w:numPr>
        <w:ind w:left="360"/>
        <w:rPr>
          <w:b/>
          <w:sz w:val="22"/>
        </w:rPr>
      </w:pPr>
      <w:r w:rsidRPr="00A45C34">
        <w:rPr>
          <w:b/>
          <w:sz w:val="22"/>
        </w:rPr>
        <w:t>Other Business</w:t>
      </w:r>
    </w:p>
    <w:p w:rsidR="00B868EE" w:rsidRPr="00A45C34" w:rsidRDefault="00BF6B92" w:rsidP="00B868EE">
      <w:pPr>
        <w:ind w:left="360"/>
        <w:rPr>
          <w:sz w:val="22"/>
        </w:rPr>
      </w:pPr>
      <w:r w:rsidRPr="00A45C34">
        <w:rPr>
          <w:sz w:val="22"/>
        </w:rPr>
        <w:t>The City</w:t>
      </w:r>
      <w:r w:rsidR="00A45C34" w:rsidRPr="00A45C34">
        <w:rPr>
          <w:sz w:val="22"/>
        </w:rPr>
        <w:t>’s Brownfield Intern Alex Richardson</w:t>
      </w:r>
      <w:r w:rsidRPr="00A45C34">
        <w:rPr>
          <w:sz w:val="22"/>
        </w:rPr>
        <w:t xml:space="preserve"> made a presentation demonstrating the city’s Blight inventory and how to locate it on the meridenbiz.com website. The information will be host via our GIS system and will showcase map, pictures and environmental reports on each site.</w:t>
      </w:r>
    </w:p>
    <w:p w:rsidR="00AF71B7" w:rsidRPr="00A45C34" w:rsidRDefault="00AF71B7" w:rsidP="00AF71B7">
      <w:pPr>
        <w:pStyle w:val="ListParagraph"/>
        <w:ind w:left="360"/>
        <w:rPr>
          <w:sz w:val="22"/>
        </w:rPr>
      </w:pPr>
    </w:p>
    <w:p w:rsidR="00AF71B7" w:rsidRPr="00A45C34" w:rsidRDefault="0097738D" w:rsidP="00CA3CDD">
      <w:pPr>
        <w:pStyle w:val="ListParagraph"/>
        <w:numPr>
          <w:ilvl w:val="0"/>
          <w:numId w:val="12"/>
        </w:numPr>
        <w:spacing w:after="0" w:line="240" w:lineRule="auto"/>
        <w:ind w:left="360"/>
        <w:rPr>
          <w:sz w:val="22"/>
        </w:rPr>
      </w:pPr>
      <w:r w:rsidRPr="00A45C34">
        <w:rPr>
          <w:b/>
          <w:sz w:val="22"/>
        </w:rPr>
        <w:t xml:space="preserve">Next Meeting.  The next meeting was tentatively </w:t>
      </w:r>
      <w:r w:rsidR="00BF6B92" w:rsidRPr="00A45C34">
        <w:rPr>
          <w:b/>
          <w:sz w:val="22"/>
        </w:rPr>
        <w:t>scheduled for Thursday, November 17</w:t>
      </w:r>
      <w:r w:rsidRPr="00A45C34">
        <w:rPr>
          <w:b/>
          <w:sz w:val="22"/>
        </w:rPr>
        <w:t>, 2016</w:t>
      </w:r>
      <w:r w:rsidR="00CA3CDD" w:rsidRPr="00A45C34">
        <w:rPr>
          <w:sz w:val="22"/>
        </w:rPr>
        <w:t xml:space="preserve"> at 12 PM at City Hall.  </w:t>
      </w:r>
    </w:p>
    <w:p w:rsidR="00AF71B7" w:rsidRPr="00A45C34" w:rsidRDefault="00AF71B7" w:rsidP="00AF71B7">
      <w:pPr>
        <w:pStyle w:val="ListParagraph"/>
        <w:spacing w:after="0" w:line="240" w:lineRule="auto"/>
        <w:ind w:left="360"/>
        <w:rPr>
          <w:sz w:val="22"/>
        </w:rPr>
      </w:pPr>
    </w:p>
    <w:p w:rsidR="0097738D" w:rsidRPr="00A45C34" w:rsidRDefault="0097738D" w:rsidP="008800F9">
      <w:pPr>
        <w:pStyle w:val="ListParagraph"/>
        <w:numPr>
          <w:ilvl w:val="0"/>
          <w:numId w:val="12"/>
        </w:numPr>
        <w:spacing w:after="0" w:line="240" w:lineRule="auto"/>
        <w:ind w:left="360"/>
        <w:rPr>
          <w:b/>
          <w:sz w:val="22"/>
        </w:rPr>
      </w:pPr>
      <w:r w:rsidRPr="00A45C34">
        <w:rPr>
          <w:b/>
          <w:sz w:val="22"/>
        </w:rPr>
        <w:t>Adjourn</w:t>
      </w:r>
    </w:p>
    <w:p w:rsidR="0097738D" w:rsidRPr="00A45C34" w:rsidRDefault="0097738D" w:rsidP="002C6546">
      <w:pPr>
        <w:spacing w:after="0" w:line="240" w:lineRule="auto"/>
        <w:rPr>
          <w:b/>
          <w:sz w:val="22"/>
        </w:rPr>
      </w:pPr>
    </w:p>
    <w:p w:rsidR="00F77EC6" w:rsidRPr="00A45C34" w:rsidRDefault="00F77EC6" w:rsidP="00F61E3F">
      <w:pPr>
        <w:spacing w:after="0" w:line="240" w:lineRule="auto"/>
        <w:rPr>
          <w:color w:val="000000" w:themeColor="text1"/>
          <w:sz w:val="22"/>
        </w:rPr>
      </w:pPr>
      <w:r w:rsidRPr="00A45C34">
        <w:rPr>
          <w:color w:val="000000" w:themeColor="text1"/>
          <w:sz w:val="22"/>
        </w:rPr>
        <w:t xml:space="preserve">Meeting Adjourned at approximately 1 PM.  </w:t>
      </w:r>
    </w:p>
    <w:p w:rsidR="00681BEC" w:rsidRPr="00A45C34" w:rsidRDefault="00681BEC" w:rsidP="00F61E3F">
      <w:pPr>
        <w:spacing w:after="0" w:line="240" w:lineRule="auto"/>
        <w:rPr>
          <w:color w:val="000000" w:themeColor="text1"/>
          <w:sz w:val="22"/>
        </w:rPr>
      </w:pPr>
    </w:p>
    <w:p w:rsidR="003A7354" w:rsidRPr="00A45C34" w:rsidRDefault="00F61E3F" w:rsidP="00F61E3F">
      <w:pPr>
        <w:spacing w:after="0" w:line="240" w:lineRule="auto"/>
        <w:rPr>
          <w:color w:val="000000" w:themeColor="text1"/>
          <w:sz w:val="22"/>
        </w:rPr>
      </w:pPr>
      <w:r w:rsidRPr="00A45C34">
        <w:rPr>
          <w:color w:val="000000" w:themeColor="text1"/>
          <w:sz w:val="22"/>
        </w:rPr>
        <w:t xml:space="preserve">Meeting summary prepared by Juliet Burdelski, </w:t>
      </w:r>
      <w:r w:rsidR="006B1EA1" w:rsidRPr="00A45C34">
        <w:rPr>
          <w:color w:val="000000" w:themeColor="text1"/>
          <w:sz w:val="22"/>
        </w:rPr>
        <w:t>Director of Economic Development</w:t>
      </w:r>
      <w:r w:rsidR="004446C7" w:rsidRPr="00A45C34">
        <w:rPr>
          <w:color w:val="000000" w:themeColor="text1"/>
          <w:sz w:val="22"/>
        </w:rPr>
        <w:t xml:space="preserve"> </w:t>
      </w:r>
      <w:r w:rsidR="005C55F2" w:rsidRPr="00A45C34">
        <w:rPr>
          <w:color w:val="000000" w:themeColor="text1"/>
          <w:sz w:val="22"/>
        </w:rPr>
        <w:t xml:space="preserve">and Paola Mantilla, Economic Development Associate.  </w:t>
      </w:r>
    </w:p>
    <w:p w:rsidR="0097738D" w:rsidRPr="00A45C34" w:rsidRDefault="0097738D" w:rsidP="00F958C0">
      <w:pPr>
        <w:rPr>
          <w:sz w:val="22"/>
        </w:rPr>
      </w:pPr>
    </w:p>
    <w:p w:rsidR="0097738D" w:rsidRPr="00A45C34" w:rsidRDefault="0097738D" w:rsidP="00F958C0">
      <w:pPr>
        <w:rPr>
          <w:sz w:val="22"/>
        </w:rPr>
      </w:pPr>
      <w:r w:rsidRPr="00A45C34">
        <w:rPr>
          <w:sz w:val="22"/>
        </w:rPr>
        <w:t xml:space="preserve">Attachments:  </w:t>
      </w:r>
    </w:p>
    <w:p w:rsidR="0097738D" w:rsidRPr="00A45C34" w:rsidRDefault="00BF6B92" w:rsidP="00F958C0">
      <w:pPr>
        <w:rPr>
          <w:sz w:val="22"/>
        </w:rPr>
      </w:pPr>
      <w:r w:rsidRPr="00A45C34">
        <w:rPr>
          <w:sz w:val="22"/>
        </w:rPr>
        <w:t>7/21</w:t>
      </w:r>
      <w:r w:rsidR="00AF71B7" w:rsidRPr="00A45C34">
        <w:rPr>
          <w:sz w:val="22"/>
        </w:rPr>
        <w:t>/16</w:t>
      </w:r>
      <w:r w:rsidR="0097738D" w:rsidRPr="00A45C34">
        <w:rPr>
          <w:sz w:val="22"/>
        </w:rPr>
        <w:t xml:space="preserve"> Staff Presentation-Update of Brownfield Activities</w:t>
      </w:r>
    </w:p>
    <w:p w:rsidR="0097738D" w:rsidRPr="00A45C34" w:rsidRDefault="00BF6B92" w:rsidP="00F958C0">
      <w:pPr>
        <w:rPr>
          <w:sz w:val="22"/>
        </w:rPr>
      </w:pPr>
      <w:r w:rsidRPr="00A45C34">
        <w:rPr>
          <w:sz w:val="22"/>
        </w:rPr>
        <w:t>7</w:t>
      </w:r>
      <w:bookmarkStart w:id="0" w:name="_GoBack"/>
      <w:bookmarkEnd w:id="0"/>
      <w:r w:rsidRPr="00A45C34">
        <w:rPr>
          <w:sz w:val="22"/>
        </w:rPr>
        <w:t>/21</w:t>
      </w:r>
      <w:r w:rsidR="00AF71B7" w:rsidRPr="00A45C34">
        <w:rPr>
          <w:sz w:val="22"/>
        </w:rPr>
        <w:t>/16</w:t>
      </w:r>
      <w:r w:rsidR="0097738D" w:rsidRPr="00A45C34">
        <w:rPr>
          <w:sz w:val="22"/>
        </w:rPr>
        <w:t xml:space="preserve"> List of Properties-Blight Enforcement </w:t>
      </w:r>
    </w:p>
    <w:sectPr w:rsidR="0097738D" w:rsidRPr="00A45C34" w:rsidSect="00D952A1">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21D" w:rsidRDefault="00D8721D" w:rsidP="00D8721D">
      <w:pPr>
        <w:spacing w:after="0" w:line="240" w:lineRule="auto"/>
      </w:pPr>
      <w:r>
        <w:separator/>
      </w:r>
    </w:p>
  </w:endnote>
  <w:endnote w:type="continuationSeparator" w:id="0">
    <w:p w:rsidR="00D8721D" w:rsidRDefault="00D8721D" w:rsidP="00D87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36077"/>
      <w:docPartObj>
        <w:docPartGallery w:val="Page Numbers (Bottom of Page)"/>
        <w:docPartUnique/>
      </w:docPartObj>
    </w:sdtPr>
    <w:sdtEndPr>
      <w:rPr>
        <w:noProof/>
      </w:rPr>
    </w:sdtEndPr>
    <w:sdtContent>
      <w:p w:rsidR="00D8721D" w:rsidRDefault="00577063">
        <w:pPr>
          <w:pStyle w:val="Footer"/>
          <w:jc w:val="center"/>
        </w:pPr>
        <w:r>
          <w:fldChar w:fldCharType="begin"/>
        </w:r>
        <w:r w:rsidR="00D8721D">
          <w:instrText xml:space="preserve"> PAGE   \* MERGEFORMAT </w:instrText>
        </w:r>
        <w:r>
          <w:fldChar w:fldCharType="separate"/>
        </w:r>
        <w:r w:rsidR="00A45C34">
          <w:rPr>
            <w:noProof/>
          </w:rPr>
          <w:t>1</w:t>
        </w:r>
        <w:r>
          <w:rPr>
            <w:noProof/>
          </w:rPr>
          <w:fldChar w:fldCharType="end"/>
        </w:r>
      </w:p>
    </w:sdtContent>
  </w:sdt>
  <w:p w:rsidR="00D8721D" w:rsidRDefault="00D87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21D" w:rsidRDefault="00D8721D" w:rsidP="00D8721D">
      <w:pPr>
        <w:spacing w:after="0" w:line="240" w:lineRule="auto"/>
      </w:pPr>
      <w:r>
        <w:separator/>
      </w:r>
    </w:p>
  </w:footnote>
  <w:footnote w:type="continuationSeparator" w:id="0">
    <w:p w:rsidR="00D8721D" w:rsidRDefault="00D8721D" w:rsidP="00D872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E39"/>
    <w:multiLevelType w:val="hybridMultilevel"/>
    <w:tmpl w:val="80024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B722FE"/>
    <w:multiLevelType w:val="hybridMultilevel"/>
    <w:tmpl w:val="CDF838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6525FD"/>
    <w:multiLevelType w:val="hybridMultilevel"/>
    <w:tmpl w:val="B9E03C0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A36CE"/>
    <w:multiLevelType w:val="hybridMultilevel"/>
    <w:tmpl w:val="1C345E6E"/>
    <w:lvl w:ilvl="0" w:tplc="28500A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955571"/>
    <w:multiLevelType w:val="hybridMultilevel"/>
    <w:tmpl w:val="4BB03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C85019"/>
    <w:multiLevelType w:val="hybridMultilevel"/>
    <w:tmpl w:val="144A9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C827EA"/>
    <w:multiLevelType w:val="hybridMultilevel"/>
    <w:tmpl w:val="1564E9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E132D4"/>
    <w:multiLevelType w:val="hybridMultilevel"/>
    <w:tmpl w:val="75966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345DBF"/>
    <w:multiLevelType w:val="hybridMultilevel"/>
    <w:tmpl w:val="774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D4CF6"/>
    <w:multiLevelType w:val="hybridMultilevel"/>
    <w:tmpl w:val="DCD8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6D3649"/>
    <w:multiLevelType w:val="hybridMultilevel"/>
    <w:tmpl w:val="ADE83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D6AFA"/>
    <w:multiLevelType w:val="hybridMultilevel"/>
    <w:tmpl w:val="3D765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C4565"/>
    <w:multiLevelType w:val="hybridMultilevel"/>
    <w:tmpl w:val="30BA9D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94041F"/>
    <w:multiLevelType w:val="hybridMultilevel"/>
    <w:tmpl w:val="70143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4853D2"/>
    <w:multiLevelType w:val="hybridMultilevel"/>
    <w:tmpl w:val="CDF838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112DB5"/>
    <w:multiLevelType w:val="hybridMultilevel"/>
    <w:tmpl w:val="62921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AB5277"/>
    <w:multiLevelType w:val="hybridMultilevel"/>
    <w:tmpl w:val="EDE6377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292D9C"/>
    <w:multiLevelType w:val="hybridMultilevel"/>
    <w:tmpl w:val="EBC802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7BBB"/>
    <w:multiLevelType w:val="hybridMultilevel"/>
    <w:tmpl w:val="2820C238"/>
    <w:lvl w:ilvl="0" w:tplc="6C206B3E">
      <w:start w:val="1"/>
      <w:numFmt w:val="decimal"/>
      <w:lvlText w:val="%1."/>
      <w:lvlJc w:val="left"/>
      <w:pPr>
        <w:ind w:left="45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C14105"/>
    <w:multiLevelType w:val="hybridMultilevel"/>
    <w:tmpl w:val="1C345E6E"/>
    <w:lvl w:ilvl="0" w:tplc="28500A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256D1A"/>
    <w:multiLevelType w:val="hybridMultilevel"/>
    <w:tmpl w:val="BDF61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6978FF"/>
    <w:multiLevelType w:val="hybridMultilevel"/>
    <w:tmpl w:val="1C345E6E"/>
    <w:lvl w:ilvl="0" w:tplc="28500A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C45F71"/>
    <w:multiLevelType w:val="hybridMultilevel"/>
    <w:tmpl w:val="F8764AD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E3622"/>
    <w:multiLevelType w:val="hybridMultilevel"/>
    <w:tmpl w:val="9A8A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C66BFD"/>
    <w:multiLevelType w:val="hybridMultilevel"/>
    <w:tmpl w:val="CC8461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C06DF2"/>
    <w:multiLevelType w:val="hybridMultilevel"/>
    <w:tmpl w:val="32B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E25CDF"/>
    <w:multiLevelType w:val="hybridMultilevel"/>
    <w:tmpl w:val="5464E0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A33A15"/>
    <w:multiLevelType w:val="hybridMultilevel"/>
    <w:tmpl w:val="EDB260F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nsid w:val="71EE76C8"/>
    <w:multiLevelType w:val="hybridMultilevel"/>
    <w:tmpl w:val="4B6AA6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30F66A6"/>
    <w:multiLevelType w:val="hybridMultilevel"/>
    <w:tmpl w:val="7EBC6D56"/>
    <w:lvl w:ilvl="0" w:tplc="EA0203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317CED"/>
    <w:multiLevelType w:val="hybridMultilevel"/>
    <w:tmpl w:val="EBB08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F14DED"/>
    <w:multiLevelType w:val="hybridMultilevel"/>
    <w:tmpl w:val="D6D8B17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A707274"/>
    <w:multiLevelType w:val="hybridMultilevel"/>
    <w:tmpl w:val="2000F0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2"/>
  </w:num>
  <w:num w:numId="2">
    <w:abstractNumId w:val="6"/>
  </w:num>
  <w:num w:numId="3">
    <w:abstractNumId w:val="27"/>
  </w:num>
  <w:num w:numId="4">
    <w:abstractNumId w:val="15"/>
  </w:num>
  <w:num w:numId="5">
    <w:abstractNumId w:val="28"/>
  </w:num>
  <w:num w:numId="6">
    <w:abstractNumId w:val="5"/>
  </w:num>
  <w:num w:numId="7">
    <w:abstractNumId w:val="9"/>
  </w:num>
  <w:num w:numId="8">
    <w:abstractNumId w:val="25"/>
  </w:num>
  <w:num w:numId="9">
    <w:abstractNumId w:val="32"/>
  </w:num>
  <w:num w:numId="10">
    <w:abstractNumId w:val="8"/>
  </w:num>
  <w:num w:numId="11">
    <w:abstractNumId w:val="23"/>
  </w:num>
  <w:num w:numId="12">
    <w:abstractNumId w:val="18"/>
  </w:num>
  <w:num w:numId="13">
    <w:abstractNumId w:val="31"/>
  </w:num>
  <w:num w:numId="14">
    <w:abstractNumId w:val="29"/>
  </w:num>
  <w:num w:numId="15">
    <w:abstractNumId w:val="2"/>
  </w:num>
  <w:num w:numId="16">
    <w:abstractNumId w:val="7"/>
  </w:num>
  <w:num w:numId="17">
    <w:abstractNumId w:val="16"/>
  </w:num>
  <w:num w:numId="18">
    <w:abstractNumId w:val="21"/>
  </w:num>
  <w:num w:numId="19">
    <w:abstractNumId w:val="1"/>
  </w:num>
  <w:num w:numId="20">
    <w:abstractNumId w:val="22"/>
  </w:num>
  <w:num w:numId="21">
    <w:abstractNumId w:val="14"/>
  </w:num>
  <w:num w:numId="22">
    <w:abstractNumId w:val="19"/>
  </w:num>
  <w:num w:numId="23">
    <w:abstractNumId w:val="3"/>
  </w:num>
  <w:num w:numId="24">
    <w:abstractNumId w:val="20"/>
  </w:num>
  <w:num w:numId="25">
    <w:abstractNumId w:val="0"/>
  </w:num>
  <w:num w:numId="26">
    <w:abstractNumId w:val="4"/>
  </w:num>
  <w:num w:numId="27">
    <w:abstractNumId w:val="30"/>
  </w:num>
  <w:num w:numId="28">
    <w:abstractNumId w:val="24"/>
  </w:num>
  <w:num w:numId="29">
    <w:abstractNumId w:val="10"/>
  </w:num>
  <w:num w:numId="30">
    <w:abstractNumId w:val="17"/>
  </w:num>
  <w:num w:numId="31">
    <w:abstractNumId w:val="11"/>
  </w:num>
  <w:num w:numId="32">
    <w:abstractNumId w:val="2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84980"/>
    <w:rsid w:val="0000777B"/>
    <w:rsid w:val="00010011"/>
    <w:rsid w:val="000135FF"/>
    <w:rsid w:val="00024B5F"/>
    <w:rsid w:val="0003536C"/>
    <w:rsid w:val="0007334E"/>
    <w:rsid w:val="00073F34"/>
    <w:rsid w:val="00076FE7"/>
    <w:rsid w:val="000809EC"/>
    <w:rsid w:val="000A19A0"/>
    <w:rsid w:val="000B682F"/>
    <w:rsid w:val="000C5454"/>
    <w:rsid w:val="00105E21"/>
    <w:rsid w:val="00125543"/>
    <w:rsid w:val="00134F4E"/>
    <w:rsid w:val="00162AD3"/>
    <w:rsid w:val="00186D18"/>
    <w:rsid w:val="001C1D36"/>
    <w:rsid w:val="001C21A0"/>
    <w:rsid w:val="001E6147"/>
    <w:rsid w:val="00200104"/>
    <w:rsid w:val="002037A9"/>
    <w:rsid w:val="0023400B"/>
    <w:rsid w:val="00240210"/>
    <w:rsid w:val="00253D22"/>
    <w:rsid w:val="002849B5"/>
    <w:rsid w:val="002C6546"/>
    <w:rsid w:val="002D2882"/>
    <w:rsid w:val="002E53CB"/>
    <w:rsid w:val="002E5EF5"/>
    <w:rsid w:val="002F0B17"/>
    <w:rsid w:val="003112A5"/>
    <w:rsid w:val="003377AB"/>
    <w:rsid w:val="003547BA"/>
    <w:rsid w:val="003710B0"/>
    <w:rsid w:val="003831BA"/>
    <w:rsid w:val="00387E19"/>
    <w:rsid w:val="00394ADD"/>
    <w:rsid w:val="003A7354"/>
    <w:rsid w:val="003B021B"/>
    <w:rsid w:val="003C066A"/>
    <w:rsid w:val="003C0F5F"/>
    <w:rsid w:val="003F23FC"/>
    <w:rsid w:val="00420FA9"/>
    <w:rsid w:val="004446C7"/>
    <w:rsid w:val="00473346"/>
    <w:rsid w:val="00484980"/>
    <w:rsid w:val="004B481E"/>
    <w:rsid w:val="004B647B"/>
    <w:rsid w:val="004E09E4"/>
    <w:rsid w:val="004E6238"/>
    <w:rsid w:val="004F5740"/>
    <w:rsid w:val="00540E2B"/>
    <w:rsid w:val="0056311D"/>
    <w:rsid w:val="005675BA"/>
    <w:rsid w:val="00571E8A"/>
    <w:rsid w:val="00577063"/>
    <w:rsid w:val="00592F79"/>
    <w:rsid w:val="005C04DB"/>
    <w:rsid w:val="005C0594"/>
    <w:rsid w:val="005C55F2"/>
    <w:rsid w:val="005F06A3"/>
    <w:rsid w:val="0060484F"/>
    <w:rsid w:val="00642E6E"/>
    <w:rsid w:val="00646B7E"/>
    <w:rsid w:val="006621F7"/>
    <w:rsid w:val="00664623"/>
    <w:rsid w:val="00676362"/>
    <w:rsid w:val="006813C3"/>
    <w:rsid w:val="00681BEC"/>
    <w:rsid w:val="00687EE9"/>
    <w:rsid w:val="006B1EA1"/>
    <w:rsid w:val="006D5F83"/>
    <w:rsid w:val="006E1ACC"/>
    <w:rsid w:val="006E27B0"/>
    <w:rsid w:val="006E2ED3"/>
    <w:rsid w:val="006E6895"/>
    <w:rsid w:val="006F2DC8"/>
    <w:rsid w:val="007174C3"/>
    <w:rsid w:val="00721768"/>
    <w:rsid w:val="0072731E"/>
    <w:rsid w:val="007410A1"/>
    <w:rsid w:val="007504AC"/>
    <w:rsid w:val="007723B4"/>
    <w:rsid w:val="00794DA1"/>
    <w:rsid w:val="007B5CEA"/>
    <w:rsid w:val="007F2B47"/>
    <w:rsid w:val="007F4117"/>
    <w:rsid w:val="0081696F"/>
    <w:rsid w:val="00830600"/>
    <w:rsid w:val="008434A5"/>
    <w:rsid w:val="00864CAC"/>
    <w:rsid w:val="008725B4"/>
    <w:rsid w:val="008800F9"/>
    <w:rsid w:val="00892A29"/>
    <w:rsid w:val="00893033"/>
    <w:rsid w:val="008B4EFB"/>
    <w:rsid w:val="008B6A0E"/>
    <w:rsid w:val="008C0B75"/>
    <w:rsid w:val="008C638A"/>
    <w:rsid w:val="00900AC4"/>
    <w:rsid w:val="009234DD"/>
    <w:rsid w:val="009335DD"/>
    <w:rsid w:val="00935118"/>
    <w:rsid w:val="00936F44"/>
    <w:rsid w:val="00946D9B"/>
    <w:rsid w:val="0095008E"/>
    <w:rsid w:val="00952718"/>
    <w:rsid w:val="0095321E"/>
    <w:rsid w:val="0097738D"/>
    <w:rsid w:val="009947A6"/>
    <w:rsid w:val="0099672D"/>
    <w:rsid w:val="009B59D3"/>
    <w:rsid w:val="009C456C"/>
    <w:rsid w:val="00A1701A"/>
    <w:rsid w:val="00A20AD8"/>
    <w:rsid w:val="00A3220B"/>
    <w:rsid w:val="00A34D33"/>
    <w:rsid w:val="00A45C34"/>
    <w:rsid w:val="00A61CCF"/>
    <w:rsid w:val="00A7791C"/>
    <w:rsid w:val="00AA5892"/>
    <w:rsid w:val="00AB6E94"/>
    <w:rsid w:val="00AD1BE7"/>
    <w:rsid w:val="00AF6D9C"/>
    <w:rsid w:val="00AF71B7"/>
    <w:rsid w:val="00B057CC"/>
    <w:rsid w:val="00B12688"/>
    <w:rsid w:val="00B2734F"/>
    <w:rsid w:val="00B3349F"/>
    <w:rsid w:val="00B43642"/>
    <w:rsid w:val="00B56D42"/>
    <w:rsid w:val="00B63264"/>
    <w:rsid w:val="00B73564"/>
    <w:rsid w:val="00B868EE"/>
    <w:rsid w:val="00B93708"/>
    <w:rsid w:val="00BD350C"/>
    <w:rsid w:val="00BE0F25"/>
    <w:rsid w:val="00BE5C25"/>
    <w:rsid w:val="00BF6B92"/>
    <w:rsid w:val="00C140F6"/>
    <w:rsid w:val="00C16E10"/>
    <w:rsid w:val="00C33C70"/>
    <w:rsid w:val="00C60C63"/>
    <w:rsid w:val="00C64518"/>
    <w:rsid w:val="00C72372"/>
    <w:rsid w:val="00C75C99"/>
    <w:rsid w:val="00C82AB8"/>
    <w:rsid w:val="00C95DA1"/>
    <w:rsid w:val="00CA27CC"/>
    <w:rsid w:val="00CA3CDD"/>
    <w:rsid w:val="00CA69B2"/>
    <w:rsid w:val="00CC243B"/>
    <w:rsid w:val="00CC3C70"/>
    <w:rsid w:val="00CD4C23"/>
    <w:rsid w:val="00D25395"/>
    <w:rsid w:val="00D338F1"/>
    <w:rsid w:val="00D47FA7"/>
    <w:rsid w:val="00D8721D"/>
    <w:rsid w:val="00D91836"/>
    <w:rsid w:val="00D952A1"/>
    <w:rsid w:val="00DA50D5"/>
    <w:rsid w:val="00DB5948"/>
    <w:rsid w:val="00E117AE"/>
    <w:rsid w:val="00E14184"/>
    <w:rsid w:val="00E23328"/>
    <w:rsid w:val="00E418DD"/>
    <w:rsid w:val="00E44676"/>
    <w:rsid w:val="00E57CC5"/>
    <w:rsid w:val="00E84376"/>
    <w:rsid w:val="00E9284B"/>
    <w:rsid w:val="00E92D25"/>
    <w:rsid w:val="00E94BBA"/>
    <w:rsid w:val="00E973C9"/>
    <w:rsid w:val="00EA1BBD"/>
    <w:rsid w:val="00EB55A6"/>
    <w:rsid w:val="00ED6E96"/>
    <w:rsid w:val="00F208E9"/>
    <w:rsid w:val="00F22340"/>
    <w:rsid w:val="00F46AC4"/>
    <w:rsid w:val="00F537F4"/>
    <w:rsid w:val="00F61E3F"/>
    <w:rsid w:val="00F7483A"/>
    <w:rsid w:val="00F77EC6"/>
    <w:rsid w:val="00F8737F"/>
    <w:rsid w:val="00F958C0"/>
    <w:rsid w:val="00FA7921"/>
    <w:rsid w:val="00FE6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980"/>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80"/>
    <w:pPr>
      <w:ind w:left="720"/>
      <w:contextualSpacing/>
    </w:pPr>
  </w:style>
  <w:style w:type="character" w:styleId="Emphasis">
    <w:name w:val="Emphasis"/>
    <w:basedOn w:val="DefaultParagraphFont"/>
    <w:uiPriority w:val="20"/>
    <w:qFormat/>
    <w:rsid w:val="00125543"/>
    <w:rPr>
      <w:i/>
      <w:iCs/>
    </w:rPr>
  </w:style>
  <w:style w:type="character" w:customStyle="1" w:styleId="apple-converted-space">
    <w:name w:val="apple-converted-space"/>
    <w:basedOn w:val="DefaultParagraphFont"/>
    <w:rsid w:val="00125543"/>
  </w:style>
  <w:style w:type="paragraph" w:styleId="BalloonText">
    <w:name w:val="Balloon Text"/>
    <w:basedOn w:val="Normal"/>
    <w:link w:val="BalloonTextChar"/>
    <w:uiPriority w:val="99"/>
    <w:semiHidden/>
    <w:unhideWhenUsed/>
    <w:rsid w:val="0042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FA9"/>
    <w:rPr>
      <w:rFonts w:ascii="Tahoma" w:eastAsia="Calibri" w:hAnsi="Tahoma" w:cs="Tahoma"/>
      <w:sz w:val="16"/>
      <w:szCs w:val="16"/>
    </w:rPr>
  </w:style>
  <w:style w:type="paragraph" w:customStyle="1" w:styleId="Default">
    <w:name w:val="Default"/>
    <w:rsid w:val="00CA69B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E5C25"/>
    <w:pPr>
      <w:spacing w:before="100" w:beforeAutospacing="1" w:after="100" w:afterAutospacing="1" w:line="240" w:lineRule="auto"/>
    </w:pPr>
    <w:rPr>
      <w:rFonts w:eastAsia="Times New Roman"/>
      <w:szCs w:val="24"/>
    </w:rPr>
  </w:style>
  <w:style w:type="table" w:styleId="TableGrid">
    <w:name w:val="Table Grid"/>
    <w:basedOn w:val="TableNormal"/>
    <w:uiPriority w:val="59"/>
    <w:rsid w:val="00BE5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21D"/>
    <w:rPr>
      <w:rFonts w:ascii="Times New Roman" w:eastAsia="Calibri" w:hAnsi="Times New Roman" w:cs="Times New Roman"/>
      <w:sz w:val="24"/>
    </w:rPr>
  </w:style>
  <w:style w:type="paragraph" w:styleId="Footer">
    <w:name w:val="footer"/>
    <w:basedOn w:val="Normal"/>
    <w:link w:val="FooterChar"/>
    <w:uiPriority w:val="99"/>
    <w:unhideWhenUsed/>
    <w:rsid w:val="00D8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21D"/>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980"/>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80"/>
    <w:pPr>
      <w:ind w:left="720"/>
      <w:contextualSpacing/>
    </w:pPr>
  </w:style>
  <w:style w:type="character" w:styleId="Emphasis">
    <w:name w:val="Emphasis"/>
    <w:basedOn w:val="DefaultParagraphFont"/>
    <w:uiPriority w:val="20"/>
    <w:qFormat/>
    <w:rsid w:val="00125543"/>
    <w:rPr>
      <w:i/>
      <w:iCs/>
    </w:rPr>
  </w:style>
  <w:style w:type="character" w:customStyle="1" w:styleId="apple-converted-space">
    <w:name w:val="apple-converted-space"/>
    <w:basedOn w:val="DefaultParagraphFont"/>
    <w:rsid w:val="00125543"/>
  </w:style>
  <w:style w:type="paragraph" w:styleId="BalloonText">
    <w:name w:val="Balloon Text"/>
    <w:basedOn w:val="Normal"/>
    <w:link w:val="BalloonTextChar"/>
    <w:uiPriority w:val="99"/>
    <w:semiHidden/>
    <w:unhideWhenUsed/>
    <w:rsid w:val="0042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FA9"/>
    <w:rPr>
      <w:rFonts w:ascii="Tahoma" w:eastAsia="Calibri" w:hAnsi="Tahoma" w:cs="Tahoma"/>
      <w:sz w:val="16"/>
      <w:szCs w:val="16"/>
    </w:rPr>
  </w:style>
  <w:style w:type="paragraph" w:customStyle="1" w:styleId="Default">
    <w:name w:val="Default"/>
    <w:rsid w:val="00CA69B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E5C25"/>
    <w:pPr>
      <w:spacing w:before="100" w:beforeAutospacing="1" w:after="100" w:afterAutospacing="1" w:line="240" w:lineRule="auto"/>
    </w:pPr>
    <w:rPr>
      <w:rFonts w:eastAsia="Times New Roman"/>
      <w:szCs w:val="24"/>
    </w:rPr>
  </w:style>
  <w:style w:type="table" w:styleId="TableGrid">
    <w:name w:val="Table Grid"/>
    <w:basedOn w:val="TableNormal"/>
    <w:uiPriority w:val="59"/>
    <w:rsid w:val="00BE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21D"/>
    <w:rPr>
      <w:rFonts w:ascii="Times New Roman" w:eastAsia="Calibri" w:hAnsi="Times New Roman" w:cs="Times New Roman"/>
      <w:sz w:val="24"/>
    </w:rPr>
  </w:style>
  <w:style w:type="paragraph" w:styleId="Footer">
    <w:name w:val="footer"/>
    <w:basedOn w:val="Normal"/>
    <w:link w:val="FooterChar"/>
    <w:uiPriority w:val="99"/>
    <w:unhideWhenUsed/>
    <w:rsid w:val="00D8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21D"/>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286815545">
      <w:bodyDiv w:val="1"/>
      <w:marLeft w:val="0"/>
      <w:marRight w:val="0"/>
      <w:marTop w:val="0"/>
      <w:marBottom w:val="0"/>
      <w:divBdr>
        <w:top w:val="none" w:sz="0" w:space="0" w:color="auto"/>
        <w:left w:val="none" w:sz="0" w:space="0" w:color="auto"/>
        <w:bottom w:val="none" w:sz="0" w:space="0" w:color="auto"/>
        <w:right w:val="none" w:sz="0" w:space="0" w:color="auto"/>
      </w:divBdr>
    </w:div>
    <w:div w:id="16429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7FB8-7CC8-48D7-AE3E-C70586D8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aswanson</dc:creator>
  <cp:lastModifiedBy>jburdelski</cp:lastModifiedBy>
  <cp:revision>2</cp:revision>
  <cp:lastPrinted>2014-03-12T22:14:00Z</cp:lastPrinted>
  <dcterms:created xsi:type="dcterms:W3CDTF">2016-11-09T19:30:00Z</dcterms:created>
  <dcterms:modified xsi:type="dcterms:W3CDTF">2016-11-09T19:30:00Z</dcterms:modified>
</cp:coreProperties>
</file>